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A7" w:rsidRDefault="003236A7" w:rsidP="007F2395"/>
    <w:p w:rsidR="00965F2A" w:rsidRDefault="00965F2A" w:rsidP="003236A7">
      <w:pPr>
        <w:widowControl w:val="0"/>
        <w:autoSpaceDE w:val="0"/>
        <w:autoSpaceDN w:val="0"/>
        <w:adjustRightInd w:val="0"/>
        <w:jc w:val="center"/>
        <w:rPr>
          <w:rFonts w:cs="StoneSans"/>
          <w:b/>
          <w:szCs w:val="22"/>
          <w:lang w:val="en-US"/>
        </w:rPr>
      </w:pPr>
      <w:r>
        <w:rPr>
          <w:rFonts w:cs="StoneSans"/>
          <w:b/>
          <w:szCs w:val="22"/>
          <w:lang w:val="en-US"/>
        </w:rPr>
        <w:t>History Benchmark Statement</w:t>
      </w:r>
    </w:p>
    <w:p w:rsidR="00965F2A" w:rsidRDefault="00965F2A" w:rsidP="003236A7">
      <w:pPr>
        <w:widowControl w:val="0"/>
        <w:autoSpaceDE w:val="0"/>
        <w:autoSpaceDN w:val="0"/>
        <w:adjustRightInd w:val="0"/>
        <w:jc w:val="center"/>
        <w:rPr>
          <w:rFonts w:cs="StoneSans"/>
          <w:b/>
          <w:szCs w:val="22"/>
          <w:lang w:val="en-US"/>
        </w:rPr>
      </w:pPr>
    </w:p>
    <w:p w:rsidR="003236A7" w:rsidRPr="00672D89" w:rsidRDefault="003236A7" w:rsidP="003236A7">
      <w:pPr>
        <w:widowControl w:val="0"/>
        <w:autoSpaceDE w:val="0"/>
        <w:autoSpaceDN w:val="0"/>
        <w:adjustRightInd w:val="0"/>
        <w:jc w:val="center"/>
        <w:rPr>
          <w:rFonts w:cs="StoneSans"/>
          <w:szCs w:val="22"/>
          <w:lang w:val="en-US"/>
        </w:rPr>
      </w:pPr>
      <w:r w:rsidRPr="00672D89">
        <w:rPr>
          <w:rFonts w:cs="StoneSans"/>
          <w:b/>
          <w:szCs w:val="22"/>
          <w:lang w:val="en-US"/>
        </w:rPr>
        <w:t>Summary of learning outcomes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>Command of a substantial body of historical knowledge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The ability to develop and sustain historical arguments in a variety of literary forms, formulating appropriate questions and utilising evidence </w:t>
      </w:r>
    </w:p>
    <w:p w:rsidR="003236A7" w:rsidRPr="00672D89" w:rsidRDefault="003236A7" w:rsidP="003236A7">
      <w:pPr>
        <w:rPr>
          <w:lang w:val="en-US"/>
        </w:rPr>
      </w:pPr>
    </w:p>
    <w:p w:rsidR="003236A7" w:rsidRPr="00FC3FCE" w:rsidRDefault="003236A7" w:rsidP="00FC3FCE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An ability to read, analyse and reflect critically and contextually upon </w:t>
      </w:r>
      <w:r w:rsidR="00FC3FCE" w:rsidRPr="00561CB1">
        <w:t>c</w:t>
      </w:r>
      <w:r w:rsidRPr="00561CB1">
        <w:t>ontemporary</w:t>
      </w:r>
      <w:r w:rsidRPr="00FC3FCE">
        <w:rPr>
          <w:lang w:val="en-US"/>
        </w:rPr>
        <w:t xml:space="preserve"> texts and other primary sources, including visual and material sources like paintings, coins, medals, cartoons, photographs and films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>An ability to read, analyse and reflect critically and contextually upon secondary evidence, including historical writings and the interpretations of historians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An appreciation of the complexity of reconstructing the past, the problematic and varied nature of historical evidence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An understanding of the varieties of approaches to understanding, constructing, and interpreting the past; and, where relevant, a knowledge of concepts and theories derived from the humanities and social sciences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The ability to gather and deploy evidence and data to find, retrieve, sort and exchange new information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A command of comparative perspectives, which may include the ability to compare the histories of different countries, societies, or cultures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Awareness of continuity and change over extended time spans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An understanding of the development of history as a discipline and the awareness of different historical methodologies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An ability to design, research, and present a sustained and independently-conceived piece of historical writing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The ability to address historical problems in depth, involving the use of contemporary sources and advanced secondary literature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Clarity, fluency, and coherence in written expression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Clarity, fluency, and coherence in oral expression 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>The ability to work collaboratively and to participate in group discussion</w:t>
      </w:r>
    </w:p>
    <w:p w:rsidR="003236A7" w:rsidRPr="00672D89" w:rsidRDefault="003236A7" w:rsidP="003236A7">
      <w:pPr>
        <w:rPr>
          <w:lang w:val="en-US"/>
        </w:rPr>
      </w:pPr>
    </w:p>
    <w:p w:rsidR="003236A7" w:rsidRPr="00672D89" w:rsidRDefault="003236A7" w:rsidP="003236A7">
      <w:pPr>
        <w:pStyle w:val="ListParagraph"/>
        <w:numPr>
          <w:ilvl w:val="0"/>
          <w:numId w:val="5"/>
        </w:numPr>
        <w:ind w:left="360"/>
        <w:rPr>
          <w:lang w:val="en-US"/>
        </w:rPr>
      </w:pPr>
      <w:r w:rsidRPr="00672D89">
        <w:rPr>
          <w:lang w:val="en-US"/>
        </w:rPr>
        <w:t xml:space="preserve">Competence in specialist skills which are necessary for some areas of historical analysis and understanding, as appropriate  </w:t>
      </w:r>
    </w:p>
    <w:p w:rsidR="003236A7" w:rsidRPr="00672D89" w:rsidRDefault="003236A7" w:rsidP="003236A7">
      <w:pPr>
        <w:rPr>
          <w:rFonts w:cs="StoneSans"/>
          <w:b/>
          <w:szCs w:val="22"/>
          <w:lang w:val="en-US"/>
        </w:rPr>
      </w:pPr>
    </w:p>
    <w:p w:rsidR="003236A7" w:rsidRPr="00672D89" w:rsidRDefault="003236A7" w:rsidP="003236A7">
      <w:pPr>
        <w:rPr>
          <w:rFonts w:cs="StoneSans"/>
          <w:b/>
          <w:szCs w:val="22"/>
          <w:lang w:val="en-US"/>
        </w:rPr>
      </w:pPr>
    </w:p>
    <w:p w:rsidR="003236A7" w:rsidRPr="00672D89" w:rsidRDefault="003236A7" w:rsidP="003236A7">
      <w:pPr>
        <w:rPr>
          <w:lang w:val="en-US"/>
        </w:rPr>
      </w:pPr>
      <w:r w:rsidRPr="00672D89">
        <w:rPr>
          <w:rFonts w:cs="StoneSans"/>
          <w:szCs w:val="22"/>
          <w:lang w:val="en-US"/>
        </w:rPr>
        <w:t xml:space="preserve">QAA (2007) </w:t>
      </w:r>
      <w:r w:rsidRPr="00BB6F9C">
        <w:rPr>
          <w:rFonts w:ascii="StoneSans" w:hAnsi="StoneSans" w:cs="StoneSans"/>
          <w:b/>
          <w:szCs w:val="22"/>
          <w:lang w:val="en-US"/>
        </w:rPr>
        <w:t>History Benchmark Statement</w:t>
      </w:r>
      <w:r>
        <w:rPr>
          <w:rFonts w:ascii="StoneSans" w:hAnsi="StoneSans" w:cs="StoneSans"/>
          <w:szCs w:val="22"/>
          <w:lang w:val="en-US"/>
        </w:rPr>
        <w:t>, paragraph 7.5</w:t>
      </w:r>
    </w:p>
    <w:p w:rsidR="003236A7" w:rsidRDefault="003236A7" w:rsidP="007F2395">
      <w:r>
        <w:br w:type="page"/>
      </w:r>
    </w:p>
    <w:p w:rsidR="003236A7" w:rsidRPr="00A52E8A" w:rsidRDefault="003236A7" w:rsidP="003236A7">
      <w:pPr>
        <w:jc w:val="center"/>
        <w:rPr>
          <w:b/>
          <w:bCs/>
        </w:rPr>
      </w:pPr>
      <w:r w:rsidRPr="00A52E8A">
        <w:rPr>
          <w:b/>
          <w:bCs/>
        </w:rPr>
        <w:t>Some assessment methods</w:t>
      </w:r>
    </w:p>
    <w:p w:rsidR="003236A7" w:rsidRDefault="003236A7" w:rsidP="003236A7">
      <w:pPr>
        <w:rPr>
          <w:bCs/>
        </w:rPr>
      </w:pP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Audio- and/or video-recording of workplace practices, with analytical commentary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Case studies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Computer-based assessments (not limited to multiple-choice questions)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Contributions to group or individual blogs, wikis, online forums, bulletin boards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Creating learning packages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Critical incident exercises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Direct observation of performance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Experimentation in the workplace, in the sense of trying out an innovation and assessing the outcomes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 xml:space="preserve">Learning logs or diaries 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Multiple choice questions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Orals and interviews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 xml:space="preserve">Objective Structured Clinical/Practical Examinations (OSC/PEs) </w:t>
      </w:r>
    </w:p>
    <w:p w:rsidR="003236A7" w:rsidRPr="00A52E8A" w:rsidRDefault="007B5A0F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Patchwork text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Peer assessment exercises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Portfolios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Poster sessions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Presentations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Problem-solving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 xml:space="preserve">Projects, individual and group </w:t>
      </w:r>
    </w:p>
    <w:p w:rsidR="007B5A0F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Questionnaires and surveys devised by learners</w:t>
      </w:r>
    </w:p>
    <w:p w:rsidR="003236A7" w:rsidRPr="00A52E8A" w:rsidRDefault="007B5A0F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Reflective essays</w:t>
      </w:r>
    </w:p>
    <w:p w:rsidR="003236A7" w:rsidRPr="00A52E8A" w:rsidRDefault="007B5A0F" w:rsidP="001061E2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>
        <w:rPr>
          <w:bCs/>
        </w:rPr>
        <w:t>Reports (may be</w:t>
      </w:r>
      <w:r w:rsidR="001061E2">
        <w:rPr>
          <w:bCs/>
        </w:rPr>
        <w:t xml:space="preserve"> other than in writing;</w:t>
      </w:r>
      <w:r>
        <w:rPr>
          <w:bCs/>
        </w:rPr>
        <w:t xml:space="preserve"> for example</w:t>
      </w:r>
      <w:r w:rsidR="003236A7" w:rsidRPr="00A52E8A">
        <w:rPr>
          <w:bCs/>
        </w:rPr>
        <w:t xml:space="preserve"> audio or video</w:t>
      </w:r>
      <w:r>
        <w:rPr>
          <w:bCs/>
        </w:rPr>
        <w:t xml:space="preserve"> presentations</w:t>
      </w:r>
      <w:r w:rsidR="003236A7" w:rsidRPr="00A52E8A">
        <w:rPr>
          <w:bCs/>
        </w:rPr>
        <w:t>)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Self-assessment exercises </w:t>
      </w:r>
    </w:p>
    <w:p w:rsidR="003236A7" w:rsidRPr="00A52E8A" w:rsidRDefault="003236A7" w:rsidP="003236A7">
      <w:pPr>
        <w:pStyle w:val="ListParagraph"/>
        <w:numPr>
          <w:ilvl w:val="0"/>
          <w:numId w:val="6"/>
        </w:numPr>
        <w:spacing w:line="480" w:lineRule="auto"/>
        <w:rPr>
          <w:bCs/>
        </w:rPr>
      </w:pPr>
      <w:r w:rsidRPr="00A52E8A">
        <w:rPr>
          <w:bCs/>
        </w:rPr>
        <w:t>Systematic observation of workplace practices</w:t>
      </w:r>
    </w:p>
    <w:p w:rsidR="003236A7" w:rsidRDefault="003236A7" w:rsidP="003236A7">
      <w:pPr>
        <w:ind w:left="2160"/>
        <w:rPr>
          <w:bCs/>
          <w:color w:val="FF0000"/>
        </w:rPr>
      </w:pPr>
    </w:p>
    <w:p w:rsidR="00965F2A" w:rsidRDefault="003236A7" w:rsidP="007F2395">
      <w:pPr>
        <w:rPr>
          <w:rFonts w:eastAsia="Cambria"/>
          <w:b/>
          <w:bCs/>
        </w:rPr>
      </w:pPr>
      <w:r w:rsidRPr="00A52E8A">
        <w:rPr>
          <w:bCs/>
        </w:rPr>
        <w:t xml:space="preserve">This list is based on Brown G </w:t>
      </w:r>
      <w:r w:rsidRPr="00A52E8A">
        <w:rPr>
          <w:rFonts w:eastAsia="Cambria"/>
          <w:bCs/>
        </w:rPr>
        <w:t xml:space="preserve">(2001) </w:t>
      </w:r>
      <w:r w:rsidRPr="00A52E8A">
        <w:rPr>
          <w:rFonts w:eastAsia="Cambria"/>
          <w:b/>
          <w:bCs/>
        </w:rPr>
        <w:t>Assessment: a guide for lecture</w:t>
      </w:r>
      <w:r w:rsidR="009210F7">
        <w:rPr>
          <w:rFonts w:eastAsia="Cambria"/>
          <w:b/>
          <w:bCs/>
        </w:rPr>
        <w:t>rs</w:t>
      </w:r>
    </w:p>
    <w:p w:rsidR="0030243D" w:rsidRDefault="0030243D" w:rsidP="002550A1">
      <w:pPr>
        <w:jc w:val="center"/>
      </w:pPr>
      <w:r>
        <w:rPr>
          <w:b/>
        </w:rPr>
        <w:t>Elements of good practice</w:t>
      </w:r>
    </w:p>
    <w:p w:rsidR="0030243D" w:rsidRDefault="0030243D" w:rsidP="0030243D">
      <w:pPr>
        <w:jc w:val="center"/>
      </w:pPr>
    </w:p>
    <w:p w:rsidR="0030243D" w:rsidRPr="003A3601" w:rsidRDefault="003A3601" w:rsidP="0030243D">
      <w:pPr>
        <w:rPr>
          <w:i/>
        </w:rPr>
      </w:pPr>
      <w:r>
        <w:rPr>
          <w:i/>
        </w:rPr>
        <w:t>Structure and organisation of the placement</w:t>
      </w:r>
    </w:p>
    <w:p w:rsidR="003A3601" w:rsidRDefault="0030243D" w:rsidP="003A3601">
      <w:pPr>
        <w:pStyle w:val="ListParagraph"/>
        <w:numPr>
          <w:ilvl w:val="0"/>
          <w:numId w:val="1"/>
        </w:numPr>
      </w:pPr>
      <w:r w:rsidRPr="0030243D">
        <w:t>To what extent do</w:t>
      </w:r>
      <w:r>
        <w:t xml:space="preserve"> the outcomes for the work placement module derive from and relate to </w:t>
      </w:r>
      <w:r w:rsidR="00B25104">
        <w:t xml:space="preserve">a) </w:t>
      </w:r>
      <w:r>
        <w:t xml:space="preserve">the overall outcomes of the History programme and </w:t>
      </w:r>
      <w:r w:rsidR="00B25104">
        <w:t xml:space="preserve">b) </w:t>
      </w:r>
      <w:r>
        <w:t>the History Subject Benchmark?</w:t>
      </w:r>
    </w:p>
    <w:p w:rsidR="0030243D" w:rsidRDefault="0030243D" w:rsidP="003A3601">
      <w:pPr>
        <w:pStyle w:val="ListParagraph"/>
      </w:pPr>
    </w:p>
    <w:p w:rsidR="003A3601" w:rsidRDefault="003A3601" w:rsidP="003A3601">
      <w:pPr>
        <w:pStyle w:val="ListParagraph"/>
        <w:numPr>
          <w:ilvl w:val="0"/>
          <w:numId w:val="1"/>
        </w:numPr>
      </w:pPr>
      <w:r>
        <w:t>Is it clear who is responsible for finding the placement?</w:t>
      </w:r>
    </w:p>
    <w:p w:rsidR="00A36B04" w:rsidRDefault="00A36B04" w:rsidP="00A36B04"/>
    <w:p w:rsidR="003A3601" w:rsidRDefault="003A3601" w:rsidP="003A3601">
      <w:pPr>
        <w:pStyle w:val="ListParagraph"/>
        <w:numPr>
          <w:ilvl w:val="0"/>
          <w:numId w:val="1"/>
        </w:numPr>
      </w:pPr>
      <w:r>
        <w:t>How does the department assure itself that the placement is a fit and proper one?</w:t>
      </w:r>
    </w:p>
    <w:p w:rsidR="003A3601" w:rsidRDefault="003A3601" w:rsidP="003A3601"/>
    <w:p w:rsidR="003A3601" w:rsidRDefault="003A3601" w:rsidP="003A3601">
      <w:pPr>
        <w:pStyle w:val="ListParagraph"/>
        <w:numPr>
          <w:ilvl w:val="0"/>
          <w:numId w:val="1"/>
        </w:numPr>
      </w:pPr>
      <w:r>
        <w:t>Are the formal requirements for the placement readily available and clearly stated?</w:t>
      </w:r>
    </w:p>
    <w:p w:rsidR="003A3601" w:rsidRDefault="003A3601" w:rsidP="003A3601"/>
    <w:p w:rsidR="00A9567F" w:rsidRDefault="00B25104" w:rsidP="00A9567F">
      <w:pPr>
        <w:pStyle w:val="ListParagraph"/>
        <w:numPr>
          <w:ilvl w:val="0"/>
          <w:numId w:val="1"/>
        </w:numPr>
      </w:pPr>
      <w:r>
        <w:t>Is the</w:t>
      </w:r>
      <w:r w:rsidR="00A36B04">
        <w:t xml:space="preserve"> contribution of the work placement module to </w:t>
      </w:r>
      <w:r>
        <w:t>students’</w:t>
      </w:r>
      <w:r w:rsidR="00A36B04">
        <w:t xml:space="preserve"> degree classification</w:t>
      </w:r>
      <w:r>
        <w:t xml:space="preserve"> explicitly stated in the regulations</w:t>
      </w:r>
      <w:r w:rsidR="00A36B04">
        <w:t xml:space="preserve">? </w:t>
      </w:r>
    </w:p>
    <w:p w:rsidR="00A9567F" w:rsidRDefault="00A9567F" w:rsidP="00A9567F"/>
    <w:p w:rsidR="00A9567F" w:rsidRDefault="00A9567F" w:rsidP="0030243D">
      <w:pPr>
        <w:pStyle w:val="ListParagraph"/>
        <w:numPr>
          <w:ilvl w:val="0"/>
          <w:numId w:val="1"/>
        </w:numPr>
      </w:pPr>
      <w:r>
        <w:t xml:space="preserve">How </w:t>
      </w:r>
      <w:r w:rsidR="00B25104">
        <w:t xml:space="preserve">well </w:t>
      </w:r>
      <w:r>
        <w:t>does the department prepare students for the placement and the assessments related to the placement?</w:t>
      </w:r>
    </w:p>
    <w:p w:rsidR="00A9567F" w:rsidRDefault="00A9567F" w:rsidP="00A9567F"/>
    <w:p w:rsidR="003A3601" w:rsidRDefault="00A9567F" w:rsidP="0030243D">
      <w:pPr>
        <w:pStyle w:val="ListParagraph"/>
        <w:numPr>
          <w:ilvl w:val="0"/>
          <w:numId w:val="1"/>
        </w:numPr>
      </w:pPr>
      <w:r>
        <w:t>How effective are the support mechanisms provided for students during the placement?</w:t>
      </w:r>
    </w:p>
    <w:p w:rsidR="00A9567F" w:rsidRDefault="00A9567F" w:rsidP="003A3601"/>
    <w:p w:rsidR="003A3601" w:rsidRDefault="003A3601" w:rsidP="00A9567F">
      <w:pPr>
        <w:rPr>
          <w:i/>
        </w:rPr>
      </w:pPr>
      <w:r>
        <w:rPr>
          <w:i/>
        </w:rPr>
        <w:t>Assessment</w:t>
      </w:r>
    </w:p>
    <w:p w:rsidR="00B25104" w:rsidRDefault="003A3601" w:rsidP="00B25104">
      <w:pPr>
        <w:pStyle w:val="ListParagraph"/>
      </w:pPr>
      <w:r>
        <w:t>How appropriate are</w:t>
      </w:r>
      <w:r w:rsidR="00B25104">
        <w:t>:</w:t>
      </w:r>
      <w:r>
        <w:t xml:space="preserve"> </w:t>
      </w:r>
    </w:p>
    <w:p w:rsidR="00B25104" w:rsidRDefault="00B25104" w:rsidP="00B25104">
      <w:pPr>
        <w:pStyle w:val="ListParagraph"/>
        <w:numPr>
          <w:ilvl w:val="1"/>
          <w:numId w:val="1"/>
        </w:numPr>
      </w:pPr>
      <w:r>
        <w:t>T</w:t>
      </w:r>
      <w:r w:rsidR="003A3601">
        <w:t>he formative and summative methods used for the asses</w:t>
      </w:r>
      <w:r>
        <w:t xml:space="preserve">sment of the placement? </w:t>
      </w:r>
    </w:p>
    <w:p w:rsidR="00B25104" w:rsidRDefault="00B25104" w:rsidP="00B25104">
      <w:pPr>
        <w:pStyle w:val="ListParagraph"/>
        <w:ind w:left="1440"/>
      </w:pPr>
    </w:p>
    <w:p w:rsidR="00B25104" w:rsidRDefault="00B25104" w:rsidP="00B25104">
      <w:pPr>
        <w:pStyle w:val="ListParagraph"/>
        <w:numPr>
          <w:ilvl w:val="1"/>
          <w:numId w:val="1"/>
        </w:numPr>
      </w:pPr>
      <w:r>
        <w:t>Do these methods assess the knowledge and skills the students are expected to develop/demonstrate in the placement?</w:t>
      </w:r>
    </w:p>
    <w:p w:rsidR="003A3601" w:rsidRDefault="003A3601" w:rsidP="00B25104"/>
    <w:p w:rsidR="003A3601" w:rsidRDefault="00D15FBF" w:rsidP="00D15FBF">
      <w:pPr>
        <w:pStyle w:val="ListParagraph"/>
        <w:numPr>
          <w:ilvl w:val="1"/>
          <w:numId w:val="1"/>
        </w:numPr>
      </w:pPr>
      <w:r>
        <w:t>T</w:t>
      </w:r>
      <w:r w:rsidR="003A3601">
        <w:t xml:space="preserve">he standard grading </w:t>
      </w:r>
      <w:r>
        <w:t>methods</w:t>
      </w:r>
      <w:r w:rsidR="003A3601">
        <w:t xml:space="preserve"> for the assessment of the placement?</w:t>
      </w:r>
    </w:p>
    <w:p w:rsidR="003A3601" w:rsidRDefault="003A3601" w:rsidP="003A3601"/>
    <w:p w:rsidR="003A3601" w:rsidRDefault="00D15FBF" w:rsidP="00D15FBF">
      <w:pPr>
        <w:pStyle w:val="ListParagraph"/>
        <w:numPr>
          <w:ilvl w:val="1"/>
          <w:numId w:val="1"/>
        </w:numPr>
      </w:pPr>
      <w:r>
        <w:t>T</w:t>
      </w:r>
      <w:r w:rsidR="003A3601">
        <w:t>he existing assignment feedback mechanisms?  What other mechanisms could be used?</w:t>
      </w:r>
    </w:p>
    <w:p w:rsidR="00A9567F" w:rsidRPr="003A3601" w:rsidRDefault="00A9567F" w:rsidP="003A3601">
      <w:pPr>
        <w:pStyle w:val="ListParagraph"/>
      </w:pPr>
    </w:p>
    <w:p w:rsidR="00A9567F" w:rsidRDefault="00A9567F" w:rsidP="0030243D">
      <w:pPr>
        <w:pStyle w:val="ListParagraph"/>
        <w:numPr>
          <w:ilvl w:val="0"/>
          <w:numId w:val="1"/>
        </w:numPr>
      </w:pPr>
      <w:r>
        <w:t>How appropriate is it for the marking of assessments to be done by:</w:t>
      </w:r>
    </w:p>
    <w:p w:rsidR="00A9567F" w:rsidRDefault="00A9567F" w:rsidP="00A9567F"/>
    <w:p w:rsidR="00A9567F" w:rsidRDefault="00A9567F" w:rsidP="00A9567F">
      <w:pPr>
        <w:pStyle w:val="ListParagraph"/>
        <w:numPr>
          <w:ilvl w:val="0"/>
          <w:numId w:val="2"/>
        </w:numPr>
      </w:pPr>
      <w:r>
        <w:t>Tutors only?</w:t>
      </w:r>
    </w:p>
    <w:p w:rsidR="00A9567F" w:rsidRDefault="00A9567F" w:rsidP="00A9567F">
      <w:pPr>
        <w:pStyle w:val="ListParagraph"/>
        <w:numPr>
          <w:ilvl w:val="0"/>
          <w:numId w:val="2"/>
        </w:numPr>
      </w:pPr>
      <w:r>
        <w:t>Employers only?</w:t>
      </w:r>
    </w:p>
    <w:p w:rsidR="00A36B04" w:rsidRDefault="00A9567F" w:rsidP="00A9567F">
      <w:pPr>
        <w:pStyle w:val="ListParagraph"/>
        <w:numPr>
          <w:ilvl w:val="0"/>
          <w:numId w:val="2"/>
        </w:numPr>
      </w:pPr>
      <w:r>
        <w:t>Tutors and employers?</w:t>
      </w:r>
    </w:p>
    <w:p w:rsidR="00A9567F" w:rsidRDefault="00A9567F" w:rsidP="00A9567F"/>
    <w:p w:rsidR="002550A1" w:rsidRDefault="00A36B04" w:rsidP="002550A1">
      <w:pPr>
        <w:pStyle w:val="ListParagraph"/>
        <w:ind w:firstLine="720"/>
      </w:pPr>
      <w:r>
        <w:t>If employers are involved in marking,</w:t>
      </w:r>
    </w:p>
    <w:p w:rsidR="00A36B04" w:rsidRDefault="00A36B04" w:rsidP="002550A1">
      <w:pPr>
        <w:pStyle w:val="ListParagraph"/>
      </w:pPr>
    </w:p>
    <w:p w:rsidR="00A36B04" w:rsidRDefault="00A36B04" w:rsidP="00A36B04">
      <w:pPr>
        <w:pStyle w:val="ListParagraph"/>
        <w:numPr>
          <w:ilvl w:val="0"/>
          <w:numId w:val="2"/>
        </w:numPr>
      </w:pPr>
      <w:r>
        <w:t>Is it clear to them what is expected of them, both as work place mentors/supervisors and, if appropriate, assessors?  For example, are they made aware of what they are marking?  How they are reporting their conclusions?</w:t>
      </w:r>
    </w:p>
    <w:p w:rsidR="00A36B04" w:rsidRDefault="00A36B04" w:rsidP="00A36B04">
      <w:pPr>
        <w:pStyle w:val="ListParagraph"/>
        <w:numPr>
          <w:ilvl w:val="0"/>
          <w:numId w:val="2"/>
        </w:numPr>
      </w:pPr>
      <w:r>
        <w:t>How are employers’ judgement used in arriving at the final mark for the module?</w:t>
      </w:r>
    </w:p>
    <w:p w:rsidR="003A3601" w:rsidRDefault="00A36B04" w:rsidP="00A36B04">
      <w:pPr>
        <w:pStyle w:val="ListParagraph"/>
        <w:numPr>
          <w:ilvl w:val="0"/>
          <w:numId w:val="2"/>
        </w:numPr>
      </w:pPr>
      <w:r>
        <w:t xml:space="preserve">How well are employers prepared for their role as assessors? </w:t>
      </w:r>
    </w:p>
    <w:p w:rsidR="00A36B04" w:rsidRDefault="00A36B04" w:rsidP="003A3601">
      <w:pPr>
        <w:pStyle w:val="ListParagraph"/>
        <w:ind w:left="1800"/>
      </w:pPr>
    </w:p>
    <w:p w:rsidR="003A3601" w:rsidRPr="002550A1" w:rsidRDefault="003A3601" w:rsidP="002550A1">
      <w:pPr>
        <w:pStyle w:val="ListParagraph"/>
        <w:numPr>
          <w:ilvl w:val="0"/>
          <w:numId w:val="1"/>
        </w:numPr>
      </w:pPr>
      <w:r>
        <w:t xml:space="preserve">How appropriate </w:t>
      </w:r>
      <w:r w:rsidR="002550A1">
        <w:t>are the standard double marking and</w:t>
      </w:r>
      <w:r>
        <w:t xml:space="preserve"> internal and externa</w:t>
      </w:r>
      <w:r w:rsidR="002550A1">
        <w:t>l moderation mechanisms?</w:t>
      </w:r>
    </w:p>
    <w:sectPr w:rsidR="003A3601" w:rsidRPr="002550A1" w:rsidSect="00830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oneSan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2A" w:rsidRDefault="00965F2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2A" w:rsidRDefault="00965F2A" w:rsidP="00965F2A">
    <w:pPr>
      <w:pStyle w:val="Footer"/>
      <w:pBdr>
        <w:top w:val="single" w:sz="4" w:space="1" w:color="auto"/>
      </w:pBdr>
    </w:pPr>
    <w:r>
      <w:t>14 September 2010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2A" w:rsidRDefault="00965F2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2A" w:rsidRDefault="00965F2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BC" w:rsidRDefault="00965F2A" w:rsidP="00965F2A">
    <w:pPr>
      <w:pStyle w:val="Header"/>
      <w:pBdr>
        <w:bottom w:val="single" w:sz="4" w:space="1" w:color="auto"/>
      </w:pBdr>
    </w:pPr>
    <w:r>
      <w:t>Preach What You Practise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2A" w:rsidRDefault="00965F2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A1B"/>
    <w:multiLevelType w:val="hybridMultilevel"/>
    <w:tmpl w:val="A604789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F76ED"/>
    <w:multiLevelType w:val="hybridMultilevel"/>
    <w:tmpl w:val="7C74E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C5126"/>
    <w:multiLevelType w:val="hybridMultilevel"/>
    <w:tmpl w:val="A940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137A"/>
    <w:multiLevelType w:val="hybridMultilevel"/>
    <w:tmpl w:val="C9FEC836"/>
    <w:lvl w:ilvl="0" w:tplc="4914E61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3F6D45"/>
    <w:multiLevelType w:val="hybridMultilevel"/>
    <w:tmpl w:val="ABE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572A"/>
    <w:multiLevelType w:val="hybridMultilevel"/>
    <w:tmpl w:val="43C0982A"/>
    <w:lvl w:ilvl="0" w:tplc="04090001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D65ED3"/>
    <w:multiLevelType w:val="hybridMultilevel"/>
    <w:tmpl w:val="2A1C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2" w:dllVersion="6" w:checkStyle="1"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1619"/>
    <w:rsid w:val="0010225D"/>
    <w:rsid w:val="001061E2"/>
    <w:rsid w:val="00121619"/>
    <w:rsid w:val="0019280B"/>
    <w:rsid w:val="001B6B87"/>
    <w:rsid w:val="001E15C6"/>
    <w:rsid w:val="0023690E"/>
    <w:rsid w:val="002550A1"/>
    <w:rsid w:val="0030243D"/>
    <w:rsid w:val="003236A7"/>
    <w:rsid w:val="003811F5"/>
    <w:rsid w:val="003A3601"/>
    <w:rsid w:val="003E491C"/>
    <w:rsid w:val="004153A0"/>
    <w:rsid w:val="004404BC"/>
    <w:rsid w:val="005226C9"/>
    <w:rsid w:val="00561CB1"/>
    <w:rsid w:val="0061161F"/>
    <w:rsid w:val="006873A7"/>
    <w:rsid w:val="006D5C78"/>
    <w:rsid w:val="007478A4"/>
    <w:rsid w:val="0077381B"/>
    <w:rsid w:val="007B5A0F"/>
    <w:rsid w:val="007F2395"/>
    <w:rsid w:val="00830B88"/>
    <w:rsid w:val="0089427A"/>
    <w:rsid w:val="009210F7"/>
    <w:rsid w:val="00965F2A"/>
    <w:rsid w:val="009701A0"/>
    <w:rsid w:val="00A0600D"/>
    <w:rsid w:val="00A36B04"/>
    <w:rsid w:val="00A64FE4"/>
    <w:rsid w:val="00A9567F"/>
    <w:rsid w:val="00B25104"/>
    <w:rsid w:val="00B964F1"/>
    <w:rsid w:val="00C20FCA"/>
    <w:rsid w:val="00C25DB4"/>
    <w:rsid w:val="00CD1A2F"/>
    <w:rsid w:val="00D15FBF"/>
    <w:rsid w:val="00D771BB"/>
    <w:rsid w:val="00DA0FCA"/>
    <w:rsid w:val="00DA3689"/>
    <w:rsid w:val="00E05A94"/>
    <w:rsid w:val="00E933B4"/>
    <w:rsid w:val="00EB7CB1"/>
    <w:rsid w:val="00F12A06"/>
    <w:rsid w:val="00F72A79"/>
    <w:rsid w:val="00FC0B44"/>
    <w:rsid w:val="00FC3FCE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21E3F"/>
    <w:rPr>
      <w:rFonts w:ascii="Arial" w:hAnsi="Arial"/>
      <w:sz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A3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689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DA3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3689"/>
    <w:rPr>
      <w:rFonts w:ascii="Arial" w:hAnsi="Arial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30243D"/>
    <w:pPr>
      <w:ind w:left="720"/>
      <w:contextualSpacing/>
    </w:pPr>
  </w:style>
  <w:style w:type="table" w:styleId="TableGrid">
    <w:name w:val="Table Grid"/>
    <w:basedOn w:val="TableNormal"/>
    <w:rsid w:val="00C25D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2E45-0F7F-094D-B889-079299EA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3992</Characters>
  <Application>Microsoft Macintosh Word</Application>
  <DocSecurity>0</DocSecurity>
  <Lines>33</Lines>
  <Paragraphs>7</Paragraphs>
  <ScaleCrop>false</ScaleCrop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Woolf</dc:creator>
  <cp:keywords/>
  <cp:lastModifiedBy>Harvey Woolf</cp:lastModifiedBy>
  <cp:revision>5</cp:revision>
  <dcterms:created xsi:type="dcterms:W3CDTF">2010-09-10T14:51:00Z</dcterms:created>
  <dcterms:modified xsi:type="dcterms:W3CDTF">2010-09-14T17:25:00Z</dcterms:modified>
</cp:coreProperties>
</file>