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7419"/>
      </w:tblGrid>
      <w:tr w:rsidR="00CD4638" w:rsidRPr="00D43368" w:rsidTr="003348AA">
        <w:trPr>
          <w:trHeight w:val="644"/>
        </w:trPr>
        <w:tc>
          <w:tcPr>
            <w:tcW w:w="2772" w:type="dxa"/>
            <w:vAlign w:val="center"/>
          </w:tcPr>
          <w:p w:rsidR="00CD4638" w:rsidRPr="00724D1B" w:rsidRDefault="00CD4638" w:rsidP="00C774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br w:type="page"/>
            </w: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br w:type="page"/>
              <w:t>Study</w:t>
            </w:r>
            <w:r w:rsidR="00724D1B"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419" w:type="dxa"/>
            <w:vAlign w:val="center"/>
          </w:tcPr>
          <w:p w:rsidR="005F4303" w:rsidRPr="003348AA" w:rsidRDefault="006476DD" w:rsidP="006476DD">
            <w:pPr>
              <w:pStyle w:val="Default"/>
              <w:rPr>
                <w:bCs/>
                <w:sz w:val="20"/>
              </w:rPr>
            </w:pPr>
            <w:r w:rsidRPr="005F4303">
              <w:rPr>
                <w:bCs/>
                <w:sz w:val="20"/>
              </w:rPr>
              <w:t>Allopurinol and cardiovascular outcomes in patients with ischaemic heart disease (</w:t>
            </w:r>
            <w:r w:rsidRPr="005F4303">
              <w:rPr>
                <w:b/>
                <w:bCs/>
                <w:sz w:val="20"/>
              </w:rPr>
              <w:t>ALL-HEART</w:t>
            </w:r>
            <w:r w:rsidRPr="005F4303">
              <w:rPr>
                <w:bCs/>
                <w:sz w:val="20"/>
              </w:rPr>
              <w:t>)</w:t>
            </w:r>
          </w:p>
        </w:tc>
      </w:tr>
      <w:tr w:rsidR="00CD4638" w:rsidRPr="00D43368" w:rsidTr="003348AA">
        <w:trPr>
          <w:trHeight w:val="657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NIHR Portfolio Ref</w:t>
            </w:r>
          </w:p>
        </w:tc>
        <w:tc>
          <w:tcPr>
            <w:tcW w:w="7419" w:type="dxa"/>
          </w:tcPr>
          <w:p w:rsidR="003348AA" w:rsidRDefault="003348AA" w:rsidP="00CC1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4638" w:rsidRPr="00E772B0" w:rsidRDefault="008E1094" w:rsidP="00CC1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UKCRN ID</w:t>
            </w:r>
            <w:r w:rsidR="005F4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5058">
              <w:rPr>
                <w:rFonts w:ascii="Arial" w:hAnsi="Arial" w:cs="Arial"/>
                <w:color w:val="000000"/>
                <w:sz w:val="20"/>
                <w:szCs w:val="20"/>
              </w:rPr>
              <w:t>15328</w:t>
            </w:r>
            <w:r w:rsidR="003348AA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IRAS ID</w:t>
            </w:r>
            <w:r w:rsidR="001C5058">
              <w:rPr>
                <w:rFonts w:ascii="Arial" w:hAnsi="Arial" w:cs="Arial"/>
                <w:color w:val="000000"/>
                <w:sz w:val="20"/>
                <w:szCs w:val="20"/>
              </w:rPr>
              <w:t xml:space="preserve"> 13590</w:t>
            </w:r>
            <w:r w:rsidR="00334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0DCF" w:rsidRPr="00D43368" w:rsidTr="001600A5">
        <w:trPr>
          <w:trHeight w:val="463"/>
        </w:trPr>
        <w:tc>
          <w:tcPr>
            <w:tcW w:w="2772" w:type="dxa"/>
            <w:vAlign w:val="center"/>
          </w:tcPr>
          <w:p w:rsidR="00460DCF" w:rsidRDefault="00460DCF" w:rsidP="001600A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</w:t>
            </w:r>
          </w:p>
          <w:p w:rsidR="00460DCF" w:rsidRDefault="00460DCF" w:rsidP="001600A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Funder</w:t>
            </w:r>
          </w:p>
          <w:p w:rsidR="00460DCF" w:rsidRPr="00724D1B" w:rsidRDefault="00460DCF" w:rsidP="001600A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Principle Investigator</w:t>
            </w:r>
          </w:p>
        </w:tc>
        <w:tc>
          <w:tcPr>
            <w:tcW w:w="7419" w:type="dxa"/>
          </w:tcPr>
          <w:p w:rsidR="00EE4A09" w:rsidRDefault="00EE4A09" w:rsidP="001600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DCF" w:rsidRDefault="00460DCF" w:rsidP="001600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University of Dundee / NHS Tayside</w:t>
            </w:r>
          </w:p>
          <w:p w:rsidR="00460DCF" w:rsidRDefault="00460DCF" w:rsidP="001600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NIHR HTA</w:t>
            </w:r>
          </w:p>
          <w:p w:rsidR="00460DCF" w:rsidRDefault="00460DCF" w:rsidP="001600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Hawkey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University of Nottingham</w:t>
            </w:r>
          </w:p>
          <w:p w:rsidR="00EE4A09" w:rsidRPr="006476DD" w:rsidRDefault="00EE4A09" w:rsidP="001600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276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Study design</w:t>
            </w:r>
          </w:p>
        </w:tc>
        <w:tc>
          <w:tcPr>
            <w:tcW w:w="7419" w:type="dxa"/>
          </w:tcPr>
          <w:p w:rsidR="00CD4638" w:rsidRDefault="00CD4638" w:rsidP="004A03C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9967DD" w:rsidRDefault="00460DCF" w:rsidP="006476D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Interventional: </w:t>
            </w:r>
            <w:r w:rsidR="006476D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6476DD" w:rsidRPr="006476D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multi-centre, controlled, prospective randomised open-label blinded endpoint</w:t>
            </w:r>
            <w:r w:rsidR="006476D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(PROBE) trial. </w:t>
            </w:r>
          </w:p>
          <w:p w:rsidR="009967DD" w:rsidRPr="00E772B0" w:rsidRDefault="009967DD" w:rsidP="004A03C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872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Study Aim and Objectives</w:t>
            </w:r>
            <w:r w:rsidR="00460D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(refer to protocol for full details)</w:t>
            </w:r>
          </w:p>
        </w:tc>
        <w:tc>
          <w:tcPr>
            <w:tcW w:w="7419" w:type="dxa"/>
          </w:tcPr>
          <w:p w:rsidR="002C464C" w:rsidRDefault="002C464C" w:rsidP="001C50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C5058" w:rsidRPr="001C5058" w:rsidRDefault="001C5058" w:rsidP="001C50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0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Primary Objective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C5058" w:rsidRPr="00460DCF" w:rsidRDefault="001C5058" w:rsidP="00460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CF">
              <w:rPr>
                <w:rFonts w:ascii="Arial" w:hAnsi="Arial" w:cs="Arial"/>
                <w:color w:val="000000"/>
                <w:sz w:val="20"/>
                <w:szCs w:val="20"/>
              </w:rPr>
              <w:t>To determine whether the addition of allopurinol 600mg daily to usual therapy improves cardiovascular outcomes.</w:t>
            </w:r>
          </w:p>
          <w:p w:rsidR="001C5058" w:rsidRPr="001C5058" w:rsidRDefault="001C5058" w:rsidP="001C50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C50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Secondary Objectives:</w:t>
            </w:r>
          </w:p>
          <w:p w:rsidR="001C5058" w:rsidRPr="00460DCF" w:rsidRDefault="00460DCF" w:rsidP="00460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1C5058" w:rsidRPr="00460DCF">
              <w:rPr>
                <w:rFonts w:ascii="Arial" w:hAnsi="Arial" w:cs="Arial"/>
                <w:color w:val="000000"/>
                <w:sz w:val="20"/>
                <w:szCs w:val="20"/>
              </w:rPr>
              <w:t>ost-effectiveness of adding allopurinol 600mg daily to usual therapy.</w:t>
            </w:r>
          </w:p>
          <w:p w:rsidR="00460DCF" w:rsidRDefault="00460DCF" w:rsidP="00460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of quality of life </w:t>
            </w:r>
          </w:p>
          <w:p w:rsidR="001C5058" w:rsidRDefault="00460DCF" w:rsidP="00460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1C5058" w:rsidRPr="00460DCF">
              <w:rPr>
                <w:rFonts w:ascii="Arial" w:hAnsi="Arial" w:cs="Arial"/>
                <w:color w:val="000000"/>
                <w:sz w:val="20"/>
                <w:szCs w:val="20"/>
              </w:rPr>
              <w:t xml:space="preserve">afety and tolerability </w:t>
            </w:r>
          </w:p>
          <w:p w:rsidR="002C464C" w:rsidRPr="00E772B0" w:rsidRDefault="002C464C" w:rsidP="00460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638" w:rsidRPr="00D43368" w:rsidTr="0062149D">
        <w:trPr>
          <w:trHeight w:val="1034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Practice target</w:t>
            </w:r>
            <w:r w:rsidR="00460D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study duration</w:t>
            </w:r>
          </w:p>
        </w:tc>
        <w:tc>
          <w:tcPr>
            <w:tcW w:w="7419" w:type="dxa"/>
          </w:tcPr>
          <w:p w:rsidR="0062149D" w:rsidRDefault="0062149D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09B" w:rsidRDefault="006B21DC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Practice target: </w:t>
            </w:r>
            <w:r w:rsidR="00460DCF" w:rsidRPr="0062149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5F4303" w:rsidRPr="006214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4638" w:rsidRPr="0062149D">
              <w:rPr>
                <w:rFonts w:ascii="Arial" w:hAnsi="Arial" w:cs="Arial"/>
                <w:color w:val="000000"/>
                <w:sz w:val="20"/>
                <w:szCs w:val="20"/>
              </w:rPr>
              <w:t>patients</w:t>
            </w:r>
            <w:r w:rsidR="009430E5">
              <w:rPr>
                <w:rFonts w:ascii="Arial" w:hAnsi="Arial" w:cs="Arial"/>
                <w:color w:val="000000"/>
                <w:sz w:val="20"/>
                <w:szCs w:val="20"/>
              </w:rPr>
              <w:t xml:space="preserve">; 5215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target overall</w:t>
            </w:r>
          </w:p>
          <w:p w:rsidR="008A709B" w:rsidRDefault="008A709B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62149D">
              <w:rPr>
                <w:rFonts w:ascii="Arial" w:hAnsi="Arial" w:cs="Arial"/>
                <w:color w:val="000000"/>
                <w:sz w:val="20"/>
                <w:szCs w:val="20"/>
              </w:rPr>
              <w:t xml:space="preserve">verage follow-up of 4 years. </w:t>
            </w:r>
          </w:p>
          <w:p w:rsidR="00CD4638" w:rsidRDefault="0062149D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is endpoint driven - </w:t>
            </w:r>
            <w:r>
              <w:rPr>
                <w:rFonts w:ascii="Arial" w:hAnsi="Arial" w:cs="Arial"/>
                <w:sz w:val="20"/>
                <w:szCs w:val="20"/>
              </w:rPr>
              <w:t>the study will end when 631 adjudicated primary endpoints have occurred.</w:t>
            </w:r>
          </w:p>
          <w:p w:rsidR="008A709B" w:rsidRPr="0062149D" w:rsidRDefault="008A709B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463"/>
        </w:trPr>
        <w:tc>
          <w:tcPr>
            <w:tcW w:w="2772" w:type="dxa"/>
            <w:vAlign w:val="center"/>
          </w:tcPr>
          <w:p w:rsidR="00CD4638" w:rsidRPr="00724D1B" w:rsidRDefault="00460DCF" w:rsidP="00460D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="00CD4638"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ecruitment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7419" w:type="dxa"/>
          </w:tcPr>
          <w:p w:rsidR="009967DD" w:rsidRDefault="009967DD" w:rsidP="00767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4638" w:rsidRDefault="00CD4638" w:rsidP="00767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2B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study </w:t>
            </w:r>
            <w:r w:rsidR="005F4303">
              <w:rPr>
                <w:rFonts w:ascii="Arial" w:hAnsi="Arial" w:cs="Arial"/>
                <w:color w:val="000000"/>
                <w:sz w:val="20"/>
                <w:szCs w:val="20"/>
              </w:rPr>
              <w:t>will run from February 2015</w:t>
            </w:r>
            <w:r w:rsidRPr="00E772B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5F4303">
              <w:rPr>
                <w:rFonts w:ascii="Arial" w:hAnsi="Arial" w:cs="Arial"/>
                <w:color w:val="000000"/>
                <w:sz w:val="20"/>
                <w:szCs w:val="20"/>
              </w:rPr>
              <w:t>December 2015</w:t>
            </w:r>
          </w:p>
          <w:p w:rsidR="009967DD" w:rsidRPr="00E772B0" w:rsidRDefault="009967DD" w:rsidP="00767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463"/>
        </w:trPr>
        <w:tc>
          <w:tcPr>
            <w:tcW w:w="2772" w:type="dxa"/>
            <w:vAlign w:val="center"/>
          </w:tcPr>
          <w:p w:rsidR="00CD4638" w:rsidRPr="00724D1B" w:rsidRDefault="00460DCF" w:rsidP="00C774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Summary of </w:t>
            </w:r>
            <w:r w:rsidR="00CD4638"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Eligibility Criteria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(refer to protocol for full criteria)</w:t>
            </w:r>
          </w:p>
        </w:tc>
        <w:tc>
          <w:tcPr>
            <w:tcW w:w="7419" w:type="dxa"/>
          </w:tcPr>
          <w:p w:rsidR="006B21DC" w:rsidRDefault="006B21DC" w:rsidP="002C46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464C" w:rsidRPr="002C464C" w:rsidRDefault="002C464C" w:rsidP="002C46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Inclusions</w:t>
            </w:r>
          </w:p>
          <w:p w:rsidR="006476DD" w:rsidRPr="00123AE9" w:rsidRDefault="006476DD" w:rsidP="00123AE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AE9">
              <w:rPr>
                <w:rFonts w:ascii="Arial" w:hAnsi="Arial" w:cs="Arial"/>
                <w:color w:val="000000"/>
                <w:sz w:val="20"/>
                <w:szCs w:val="20"/>
              </w:rPr>
              <w:t>Male or female patients aged 60 years and over.</w:t>
            </w:r>
          </w:p>
          <w:p w:rsidR="00CD4638" w:rsidRPr="00123AE9" w:rsidRDefault="006476DD" w:rsidP="00123AE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AE9">
              <w:rPr>
                <w:rFonts w:ascii="Arial" w:hAnsi="Arial" w:cs="Arial"/>
                <w:color w:val="000000"/>
                <w:sz w:val="20"/>
                <w:szCs w:val="20"/>
              </w:rPr>
              <w:t>Ischaemic heart disease (IHD) defined as a diagnosis of angina or myocardial infarction (MI) at</w:t>
            </w:r>
            <w:r w:rsidR="001B59C4" w:rsidRPr="00123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3AE9">
              <w:rPr>
                <w:rFonts w:ascii="Arial" w:hAnsi="Arial" w:cs="Arial"/>
                <w:color w:val="000000"/>
                <w:sz w:val="20"/>
                <w:szCs w:val="20"/>
              </w:rPr>
              <w:t>any time or other evidence of ischaemic heart disease (investigator opinion).</w:t>
            </w:r>
          </w:p>
          <w:p w:rsidR="006B21DC" w:rsidRDefault="006B21DC" w:rsidP="00C774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4303" w:rsidRPr="002C464C" w:rsidRDefault="00123AE9" w:rsidP="00C774B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Main exclusions:</w:t>
            </w:r>
          </w:p>
          <w:p w:rsidR="006B21DC" w:rsidRDefault="006476DD" w:rsidP="006B2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History of gout</w:t>
            </w:r>
            <w:r w:rsidR="00123AE9"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nown ren</w:t>
            </w:r>
            <w:r w:rsidR="00123AE9">
              <w:rPr>
                <w:rFonts w:ascii="Arial" w:hAnsi="Arial" w:cs="Arial"/>
                <w:color w:val="000000"/>
                <w:sz w:val="20"/>
                <w:szCs w:val="20"/>
              </w:rPr>
              <w:t>al impairment (</w:t>
            </w:r>
            <w:proofErr w:type="spellStart"/>
            <w:r w:rsidR="00123AE9">
              <w:rPr>
                <w:rFonts w:ascii="Arial" w:hAnsi="Arial" w:cs="Arial"/>
                <w:color w:val="000000"/>
                <w:sz w:val="20"/>
                <w:szCs w:val="20"/>
              </w:rPr>
              <w:t>eGFR</w:t>
            </w:r>
            <w:proofErr w:type="spellEnd"/>
            <w:r w:rsidR="00123AE9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&lt;60 ml/min), </w:t>
            </w:r>
          </w:p>
          <w:p w:rsidR="006B21DC" w:rsidRPr="006476DD" w:rsidRDefault="00123AE9" w:rsidP="006B2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6476DD" w:rsidRPr="006476DD">
              <w:rPr>
                <w:rFonts w:ascii="Arial" w:hAnsi="Arial" w:cs="Arial"/>
                <w:color w:val="000000"/>
                <w:sz w:val="20"/>
                <w:szCs w:val="20"/>
              </w:rPr>
              <w:t>oderate to sev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 heart failure (NYHA III-IV), significant hepatic disease, p</w:t>
            </w: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revious allergy to allopurinol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B21D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>revious serious adverse cutaneous (skin) reaction to any drug</w:t>
            </w:r>
            <w:r w:rsidR="006B21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atients alread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 taking urate lowering therapy</w:t>
            </w:r>
            <w:r w:rsidR="006B21DC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 xml:space="preserve">atients taking azathioprine, </w:t>
            </w:r>
            <w:proofErr w:type="spellStart"/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>mercaptopurine</w:t>
            </w:r>
            <w:proofErr w:type="spellEnd"/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>ciclosporin</w:t>
            </w:r>
            <w:proofErr w:type="spellEnd"/>
            <w:r w:rsidR="006B21DC" w:rsidRPr="006476D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theophylline.</w:t>
            </w:r>
          </w:p>
          <w:p w:rsidR="006B21DC" w:rsidRPr="00E772B0" w:rsidRDefault="006B21DC" w:rsidP="006B2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10. Malignancy (except non-metastatic, non-melanoma skin cancers, cervical in-situ carcinoma,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76DD">
              <w:rPr>
                <w:rFonts w:ascii="Arial" w:hAnsi="Arial" w:cs="Arial"/>
                <w:color w:val="000000"/>
                <w:sz w:val="20"/>
                <w:szCs w:val="20"/>
              </w:rPr>
              <w:t>breast ductal carcinoma in situ, or stage 1 prostate carcinoma) within the last 5 years (investigator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opinion).  </w:t>
            </w:r>
          </w:p>
          <w:p w:rsidR="002C464C" w:rsidRPr="00E772B0" w:rsidRDefault="002C464C" w:rsidP="00123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49D" w:rsidRPr="00D43368" w:rsidTr="003348AA">
        <w:trPr>
          <w:trHeight w:val="463"/>
        </w:trPr>
        <w:tc>
          <w:tcPr>
            <w:tcW w:w="2772" w:type="dxa"/>
            <w:vAlign w:val="center"/>
          </w:tcPr>
          <w:p w:rsidR="0062149D" w:rsidRPr="002C464C" w:rsidRDefault="0062149D" w:rsidP="00C77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64C">
              <w:rPr>
                <w:rFonts w:ascii="Arial" w:hAnsi="Arial" w:cs="Arial"/>
                <w:b/>
                <w:sz w:val="20"/>
                <w:szCs w:val="20"/>
              </w:rPr>
              <w:t>Study Activities</w:t>
            </w:r>
          </w:p>
        </w:tc>
        <w:tc>
          <w:tcPr>
            <w:tcW w:w="7419" w:type="dxa"/>
          </w:tcPr>
          <w:p w:rsidR="002C464C" w:rsidRDefault="002C464C" w:rsidP="0062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C464C" w:rsidRPr="002C464C" w:rsidRDefault="0062149D" w:rsidP="002C46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care practice lists will be searched for suitable subjects with IHD who will be invited to participate. At a screening visit, written informed consent will be taken, inclusion and exclusion criteria checked and blood samples taken 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baseline full blood count, urea and electrolytes, creatinine,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urate. Patients will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 randomised via a web portal or interactive voice response system (IVRS) to either allopurinol or no drug to be given in addition to their usual medications. Allopurinol will be started at 100mg daily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2 weeks, then titrated to 300mg daily for 2 weeks, then titrated to 600mg daily if tolerated. Inpatients randomised to allopurinol, bloods will be taken for full blood count, urea and electrolytes,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creatinine,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urate 6 weeks after starting study medication. Patients will be asked to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 any treatment-related adverse events, particularly rash (~1% incidence with allopurinol) and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gout flares, and any serious adverse ev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ents. Study medications will be </w:t>
            </w:r>
            <w:r>
              <w:rPr>
                <w:rFonts w:ascii="Arial" w:hAnsi="Arial" w:cs="Arial"/>
                <w:sz w:val="20"/>
                <w:szCs w:val="20"/>
              </w:rPr>
              <w:t>prescribed by the GP. An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dedicated study web portal will be used to collect study data and aid pharmacovigilance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reporting and trial management.</w:t>
            </w:r>
            <w:r w:rsidR="002C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64C" w:rsidRPr="002C464C">
              <w:rPr>
                <w:rFonts w:ascii="Arial" w:hAnsi="Arial" w:cs="Arial"/>
                <w:iCs/>
                <w:sz w:val="20"/>
                <w:szCs w:val="20"/>
              </w:rPr>
              <w:t>Patient</w:t>
            </w:r>
            <w:r w:rsidR="006B21DC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2C464C" w:rsidRPr="002C464C">
              <w:rPr>
                <w:rFonts w:ascii="Arial" w:hAnsi="Arial" w:cs="Arial"/>
                <w:iCs/>
                <w:sz w:val="20"/>
                <w:szCs w:val="20"/>
              </w:rPr>
              <w:t xml:space="preserve"> will receive questionnaires annually to complete, which will be posted out by the study sponsor. </w:t>
            </w:r>
          </w:p>
          <w:p w:rsidR="002C464C" w:rsidRPr="00790DB1" w:rsidRDefault="002C464C" w:rsidP="002C46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463"/>
        </w:trPr>
        <w:tc>
          <w:tcPr>
            <w:tcW w:w="2772" w:type="dxa"/>
            <w:vAlign w:val="center"/>
          </w:tcPr>
          <w:p w:rsidR="00CD4638" w:rsidRPr="002C464C" w:rsidRDefault="00790DB1" w:rsidP="00C774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64C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Practice Activities</w:t>
            </w:r>
          </w:p>
        </w:tc>
        <w:tc>
          <w:tcPr>
            <w:tcW w:w="7419" w:type="dxa"/>
          </w:tcPr>
          <w:p w:rsidR="00226055" w:rsidRPr="00790DB1" w:rsidRDefault="00226055" w:rsidP="000975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DB1" w:rsidRPr="004A7C7A" w:rsidRDefault="00790DB1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A7C7A">
              <w:rPr>
                <w:rFonts w:ascii="Arial" w:hAnsi="Arial" w:cs="Arial"/>
                <w:bCs/>
                <w:sz w:val="20"/>
                <w:szCs w:val="20"/>
              </w:rPr>
              <w:t xml:space="preserve">GCP-trained GP to act as Site Study Coordinator </w:t>
            </w:r>
            <w:r w:rsidR="004A7C7A">
              <w:rPr>
                <w:rFonts w:ascii="Arial" w:hAnsi="Arial" w:cs="Arial"/>
                <w:bCs/>
                <w:sz w:val="20"/>
                <w:szCs w:val="20"/>
              </w:rPr>
              <w:t xml:space="preserve">(SSC) </w:t>
            </w:r>
            <w:r w:rsidRPr="004A7C7A">
              <w:rPr>
                <w:rFonts w:ascii="Arial" w:hAnsi="Arial" w:cs="Arial"/>
                <w:bCs/>
                <w:sz w:val="20"/>
                <w:szCs w:val="20"/>
              </w:rPr>
              <w:t>to lead on the study</w:t>
            </w:r>
          </w:p>
          <w:p w:rsidR="00790DB1" w:rsidRPr="004A7C7A" w:rsidRDefault="00790DB1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A7C7A">
              <w:rPr>
                <w:rFonts w:ascii="Arial" w:hAnsi="Arial" w:cs="Arial"/>
                <w:bCs/>
                <w:sz w:val="20"/>
                <w:szCs w:val="20"/>
              </w:rPr>
              <w:t xml:space="preserve">Practice to search electronic patient records for potentially eligible patients </w:t>
            </w:r>
          </w:p>
          <w:p w:rsidR="00790DB1" w:rsidRPr="004A7C7A" w:rsidRDefault="004A7C7A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SSC</w:t>
            </w:r>
            <w:r w:rsidR="00790DB1" w:rsidRPr="004A7C7A">
              <w:rPr>
                <w:rFonts w:ascii="Arial" w:hAnsi="Arial" w:cs="Arial"/>
                <w:bCs/>
                <w:sz w:val="20"/>
                <w:szCs w:val="20"/>
              </w:rPr>
              <w:t xml:space="preserve"> will review list to confirm eligibility for inviting and screening</w:t>
            </w:r>
          </w:p>
          <w:p w:rsidR="00790DB1" w:rsidRPr="004A7C7A" w:rsidRDefault="00790DB1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A7C7A">
              <w:rPr>
                <w:rFonts w:ascii="Arial" w:hAnsi="Arial" w:cs="Arial"/>
                <w:bCs/>
                <w:sz w:val="20"/>
                <w:szCs w:val="20"/>
              </w:rPr>
              <w:t xml:space="preserve">Once list </w:t>
            </w:r>
            <w:r w:rsidR="004A7C7A" w:rsidRPr="004A7C7A">
              <w:rPr>
                <w:rFonts w:ascii="Arial" w:hAnsi="Arial" w:cs="Arial"/>
                <w:bCs/>
                <w:sz w:val="20"/>
                <w:szCs w:val="20"/>
              </w:rPr>
              <w:t>checked</w:t>
            </w:r>
            <w:r w:rsidRPr="004A7C7A">
              <w:rPr>
                <w:rFonts w:ascii="Arial" w:hAnsi="Arial" w:cs="Arial"/>
                <w:bCs/>
                <w:sz w:val="20"/>
                <w:szCs w:val="20"/>
              </w:rPr>
              <w:t xml:space="preserve"> by GP, arrange for the invitation letters to be mailed to patients using </w:t>
            </w:r>
            <w:proofErr w:type="spellStart"/>
            <w:r w:rsidRPr="004A7C7A">
              <w:rPr>
                <w:rFonts w:ascii="Arial" w:hAnsi="Arial" w:cs="Arial"/>
                <w:bCs/>
                <w:sz w:val="20"/>
                <w:szCs w:val="20"/>
              </w:rPr>
              <w:t>Docmail</w:t>
            </w:r>
            <w:proofErr w:type="spellEnd"/>
            <w:r w:rsidRPr="004A7C7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90DB1" w:rsidRDefault="00790DB1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A7C7A">
              <w:rPr>
                <w:rFonts w:ascii="Arial" w:hAnsi="Arial" w:cs="Arial"/>
                <w:bCs/>
                <w:sz w:val="20"/>
                <w:szCs w:val="20"/>
              </w:rPr>
              <w:t>Provision of a room and facilities for research nurse to conduct baseline clinics</w:t>
            </w:r>
            <w:r w:rsidR="004A7C7A" w:rsidRPr="004A7C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7C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F1696" w:rsidRPr="004A7C7A" w:rsidRDefault="002F1696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Prescribe allopurinol to those randomised to this arm</w:t>
            </w:r>
          </w:p>
          <w:p w:rsidR="004A7C7A" w:rsidRPr="004A7C7A" w:rsidRDefault="004A7C7A" w:rsidP="004A7C7A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A7C7A">
              <w:rPr>
                <w:rFonts w:ascii="Arial" w:hAnsi="Arial" w:cs="Arial"/>
                <w:bCs/>
                <w:sz w:val="20"/>
                <w:szCs w:val="20"/>
              </w:rPr>
              <w:t>GP to report any serious adverse events and treatment-related adverse events (via a web-based portal)</w:t>
            </w:r>
          </w:p>
          <w:p w:rsidR="00CD4638" w:rsidRPr="00790DB1" w:rsidRDefault="00CD4638" w:rsidP="004A7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353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Assurances</w:t>
            </w:r>
          </w:p>
        </w:tc>
        <w:tc>
          <w:tcPr>
            <w:tcW w:w="7419" w:type="dxa"/>
            <w:shd w:val="clear" w:color="auto" w:fill="FFFFFF"/>
          </w:tcPr>
          <w:p w:rsidR="009967DD" w:rsidRDefault="009967DD" w:rsidP="00D4336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4638" w:rsidRPr="002C464C" w:rsidRDefault="002C464C" w:rsidP="002C46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Approvals will be obtained for the trial from ethics committees, the Medicines and Healthcare products Regulatory Agency (MHRA) and local research and development departments.</w:t>
            </w:r>
            <w:r w:rsidRPr="00E772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4A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46E8B" w:rsidRPr="00E772B0">
              <w:rPr>
                <w:rFonts w:ascii="Arial" w:hAnsi="Arial" w:cs="Arial"/>
                <w:color w:val="000000"/>
                <w:sz w:val="20"/>
                <w:szCs w:val="20"/>
              </w:rPr>
              <w:t xml:space="preserve">ssurance documentation </w:t>
            </w:r>
            <w:r w:rsidR="00EE4A09">
              <w:rPr>
                <w:rFonts w:ascii="Arial" w:hAnsi="Arial" w:cs="Arial"/>
                <w:color w:val="000000"/>
                <w:sz w:val="20"/>
                <w:szCs w:val="20"/>
              </w:rPr>
              <w:t>will be provided to the practice who will be asked to return a signed agreement.</w:t>
            </w:r>
          </w:p>
          <w:p w:rsidR="00CD4638" w:rsidRPr="00E772B0" w:rsidRDefault="00CD4638" w:rsidP="00EE4A0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A09" w:rsidRPr="00D43368" w:rsidTr="003348AA">
        <w:trPr>
          <w:trHeight w:val="565"/>
        </w:trPr>
        <w:tc>
          <w:tcPr>
            <w:tcW w:w="2772" w:type="dxa"/>
            <w:vAlign w:val="center"/>
          </w:tcPr>
          <w:p w:rsidR="00EE4A09" w:rsidRPr="00724D1B" w:rsidRDefault="00EE4A09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Practice reimbursement</w:t>
            </w:r>
          </w:p>
        </w:tc>
        <w:tc>
          <w:tcPr>
            <w:tcW w:w="7419" w:type="dxa"/>
          </w:tcPr>
          <w:p w:rsidR="008A709B" w:rsidRDefault="008A709B" w:rsidP="00843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A09" w:rsidRDefault="008A709B" w:rsidP="0084349E">
            <w:pPr>
              <w:rPr>
                <w:rFonts w:ascii="Arial" w:hAnsi="Arial" w:cs="Arial"/>
                <w:sz w:val="20"/>
                <w:szCs w:val="20"/>
              </w:rPr>
            </w:pPr>
            <w:r w:rsidRPr="008A709B">
              <w:rPr>
                <w:rFonts w:ascii="Arial" w:hAnsi="Arial" w:cs="Arial"/>
                <w:sz w:val="20"/>
                <w:szCs w:val="20"/>
              </w:rPr>
              <w:t>An estimated NHS service support payment of £xxx has been calculated for this study. This figure is based upon the information provided by the study team regarding the likely activities to be performed by your practice; it is an approximation only and may be adjusted in line with the level of practice activity and the amount of CRN support received</w:t>
            </w:r>
          </w:p>
          <w:p w:rsidR="008A709B" w:rsidRPr="008A709B" w:rsidRDefault="008A709B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565"/>
        </w:trPr>
        <w:tc>
          <w:tcPr>
            <w:tcW w:w="2772" w:type="dxa"/>
            <w:vAlign w:val="center"/>
          </w:tcPr>
          <w:p w:rsidR="00CD4638" w:rsidRPr="00724D1B" w:rsidRDefault="00CD4638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Research Team contact</w:t>
            </w:r>
          </w:p>
        </w:tc>
        <w:tc>
          <w:tcPr>
            <w:tcW w:w="7419" w:type="dxa"/>
          </w:tcPr>
          <w:p w:rsidR="009967DD" w:rsidRDefault="009967DD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4303" w:rsidRP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Jennifer Dumbleton</w:t>
            </w:r>
          </w:p>
          <w:p w:rsidR="005F4303" w:rsidRP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Clinical Trials Manager</w:t>
            </w:r>
          </w:p>
          <w:p w:rsidR="005F4303" w:rsidRP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University Hospital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Nottingham</w:t>
            </w:r>
          </w:p>
          <w:p w:rsidR="005F4303" w:rsidRP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NG7 2UH</w:t>
            </w:r>
          </w:p>
          <w:p w:rsid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(0)115 8231053</w:t>
            </w:r>
          </w:p>
          <w:p w:rsidR="005F4303" w:rsidRPr="005F4303" w:rsidRDefault="005F4303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303">
              <w:rPr>
                <w:rFonts w:ascii="Arial" w:hAnsi="Arial" w:cs="Arial"/>
                <w:color w:val="000000"/>
                <w:sz w:val="20"/>
                <w:szCs w:val="20"/>
              </w:rPr>
              <w:t>(0)7584 151610</w:t>
            </w:r>
          </w:p>
          <w:p w:rsidR="005F4303" w:rsidRDefault="00A14C95" w:rsidP="005F4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5F4303" w:rsidRPr="00D46BBE">
                <w:rPr>
                  <w:rStyle w:val="Hyperlink"/>
                  <w:rFonts w:ascii="Arial" w:hAnsi="Arial" w:cs="Arial"/>
                  <w:sz w:val="20"/>
                  <w:szCs w:val="20"/>
                </w:rPr>
                <w:t>jennifer.dumbleton@nottingham.ac.uk</w:t>
              </w:r>
            </w:hyperlink>
          </w:p>
          <w:p w:rsidR="009967DD" w:rsidRPr="00E772B0" w:rsidRDefault="009967DD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638" w:rsidRPr="00D43368" w:rsidTr="003348AA">
        <w:trPr>
          <w:trHeight w:val="565"/>
        </w:trPr>
        <w:tc>
          <w:tcPr>
            <w:tcW w:w="2772" w:type="dxa"/>
            <w:vAlign w:val="center"/>
          </w:tcPr>
          <w:p w:rsidR="00CD4638" w:rsidRPr="00724D1B" w:rsidRDefault="00EE4A09" w:rsidP="004A03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Local </w:t>
            </w:r>
            <w:r w:rsidR="00CD4638" w:rsidRPr="0072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CRN contact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419" w:type="dxa"/>
          </w:tcPr>
          <w:p w:rsidR="00CD4638" w:rsidRDefault="00CD4638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7DD" w:rsidRDefault="00EE4A09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Rebecca Harrison (</w:t>
            </w:r>
            <w:hyperlink r:id="rId13" w:history="1">
              <w:r w:rsidRPr="005D7324">
                <w:rPr>
                  <w:rStyle w:val="Hyperlink"/>
                  <w:rFonts w:ascii="Arial" w:hAnsi="Arial" w:cs="Arial"/>
                  <w:sz w:val="20"/>
                  <w:szCs w:val="20"/>
                </w:rPr>
                <w:t>r.l.harrison@warwick.ac.uk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 Research Facilitator</w:t>
            </w:r>
          </w:p>
          <w:p w:rsidR="00EE4A09" w:rsidRDefault="00EE4A09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Eleanor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Hoverd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hyperlink r:id="rId14" w:history="1">
              <w:r w:rsidRPr="005D7324">
                <w:rPr>
                  <w:rStyle w:val="Hyperlink"/>
                  <w:rFonts w:ascii="Arial" w:hAnsi="Arial" w:cs="Arial"/>
                  <w:sz w:val="20"/>
                  <w:szCs w:val="20"/>
                </w:rPr>
                <w:t>e.j.hoverd@warwick.ac.uk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Research </w:t>
            </w:r>
            <w:r w:rsidR="008A709B"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  <w:p w:rsidR="00EE4A09" w:rsidRDefault="00EE4A09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Joshi (</w:t>
            </w:r>
            <w:hyperlink r:id="rId15" w:history="1">
              <w:r w:rsidRPr="005D7324">
                <w:rPr>
                  <w:rStyle w:val="Hyperlink"/>
                  <w:rFonts w:ascii="Arial" w:hAnsi="Arial" w:cs="Arial"/>
                  <w:sz w:val="20"/>
                  <w:szCs w:val="20"/>
                </w:rPr>
                <w:t>sarah.joshi@warwick.ac.uk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8A709B">
              <w:rPr>
                <w:rFonts w:ascii="Arial" w:hAnsi="Arial" w:cs="Arial"/>
                <w:color w:val="000000"/>
                <w:sz w:val="20"/>
                <w:szCs w:val="20"/>
              </w:rPr>
              <w:t>Research Nurse</w:t>
            </w:r>
          </w:p>
          <w:p w:rsidR="009967DD" w:rsidRPr="00E772B0" w:rsidRDefault="009967DD" w:rsidP="00843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4638" w:rsidRPr="00D43368" w:rsidRDefault="00CD4638" w:rsidP="00243A00">
      <w:pPr>
        <w:rPr>
          <w:color w:val="000000"/>
          <w:sz w:val="18"/>
          <w:szCs w:val="18"/>
        </w:rPr>
      </w:pPr>
    </w:p>
    <w:sectPr w:rsidR="00CD4638" w:rsidRPr="00D43368" w:rsidSect="00E41C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58" w:rsidRDefault="001C5058">
      <w:r>
        <w:separator/>
      </w:r>
    </w:p>
  </w:endnote>
  <w:endnote w:type="continuationSeparator" w:id="0">
    <w:p w:rsidR="001C5058" w:rsidRDefault="001C5058">
      <w:r>
        <w:continuationSeparator/>
      </w:r>
    </w:p>
  </w:endnote>
  <w:endnote w:type="continuationNotice" w:id="1">
    <w:p w:rsidR="001C5058" w:rsidRDefault="001C5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95" w:rsidRDefault="00A14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DC" w:rsidRPr="006B21DC" w:rsidRDefault="006B21DC">
    <w:pPr>
      <w:pStyle w:val="Footer"/>
      <w:rPr>
        <w:rFonts w:ascii="Arial" w:hAnsi="Arial" w:cs="Arial"/>
        <w:sz w:val="20"/>
        <w:szCs w:val="20"/>
      </w:rPr>
    </w:pPr>
    <w:r w:rsidRPr="006B21DC">
      <w:rPr>
        <w:rFonts w:ascii="Arial" w:hAnsi="Arial" w:cs="Arial"/>
        <w:sz w:val="20"/>
        <w:szCs w:val="20"/>
      </w:rPr>
      <w:t>Version 1 Created 20.10.15 RLH</w:t>
    </w:r>
  </w:p>
  <w:p w:rsidR="001C5058" w:rsidRPr="0084349E" w:rsidRDefault="001C5058" w:rsidP="0090111A">
    <w:pPr>
      <w:pStyle w:val="Footer"/>
      <w:tabs>
        <w:tab w:val="clear" w:pos="8306"/>
        <w:tab w:val="right" w:pos="936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95" w:rsidRDefault="00A1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58" w:rsidRDefault="001C5058">
      <w:r>
        <w:separator/>
      </w:r>
    </w:p>
  </w:footnote>
  <w:footnote w:type="continuationSeparator" w:id="0">
    <w:p w:rsidR="001C5058" w:rsidRDefault="001C5058">
      <w:r>
        <w:continuationSeparator/>
      </w:r>
    </w:p>
  </w:footnote>
  <w:footnote w:type="continuationNotice" w:id="1">
    <w:p w:rsidR="001C5058" w:rsidRDefault="001C5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95" w:rsidRDefault="00A14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58" w:rsidRDefault="003348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E674E" wp14:editId="027DD782">
          <wp:simplePos x="0" y="0"/>
          <wp:positionH relativeFrom="column">
            <wp:posOffset>4669155</wp:posOffset>
          </wp:positionH>
          <wp:positionV relativeFrom="paragraph">
            <wp:posOffset>-92710</wp:posOffset>
          </wp:positionV>
          <wp:extent cx="1617035" cy="952500"/>
          <wp:effectExtent l="0" t="0" r="2540" b="0"/>
          <wp:wrapNone/>
          <wp:docPr id="4" name="Picture 4" descr="nihr_lcrn_wmidlands_cmyk_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_lcrn_wmidlands_cmyk_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0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05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C1443C" wp14:editId="01637982">
              <wp:simplePos x="0" y="0"/>
              <wp:positionH relativeFrom="column">
                <wp:posOffset>1604010</wp:posOffset>
              </wp:positionH>
              <wp:positionV relativeFrom="paragraph">
                <wp:posOffset>-368935</wp:posOffset>
              </wp:positionV>
              <wp:extent cx="252095" cy="266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058" w:rsidRDefault="001C50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144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3pt;margin-top:-29.0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Y0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7QI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" stroked="f">
              <v:textbox style="mso-fit-shape-to-text:t">
                <w:txbxContent>
                  <w:p w:rsidR="001C5058" w:rsidRDefault="001C5058"/>
                </w:txbxContent>
              </v:textbox>
            </v:shape>
          </w:pict>
        </mc:Fallback>
      </mc:AlternateContent>
    </w:r>
    <w:r w:rsidR="001C5058">
      <w:tab/>
    </w:r>
  </w:p>
  <w:p w:rsidR="001C5058" w:rsidRPr="00A14C95" w:rsidRDefault="00A14C95">
    <w:pPr>
      <w:pStyle w:val="Header"/>
      <w:rPr>
        <w:rFonts w:ascii="Arial" w:hAnsi="Arial" w:cs="Arial"/>
        <w:sz w:val="32"/>
        <w:szCs w:val="32"/>
      </w:rPr>
    </w:pPr>
    <w:bookmarkStart w:id="0" w:name="_GoBack"/>
    <w:bookmarkEnd w:id="0"/>
    <w:r w:rsidRPr="00A14C95">
      <w:rPr>
        <w:noProof/>
      </w:rPr>
      <w:drawing>
        <wp:inline distT="0" distB="0" distL="0" distR="0">
          <wp:extent cx="1990725" cy="628650"/>
          <wp:effectExtent l="0" t="0" r="9525" b="0"/>
          <wp:docPr id="1" name="Picture 1" descr="C:\Users\mhslbm\AppData\Local\Microsoft\Windows\Temporary Internet Files\Content.Outlook\2FDM1C93\SnipImag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slbm\AppData\Local\Microsoft\Windows\Temporary Internet Files\Content.Outlook\2FDM1C93\SnipImage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03" cy="63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058">
      <w:tab/>
    </w:r>
    <w:r w:rsidR="001C5058" w:rsidRPr="00A14C95">
      <w:rPr>
        <w:rFonts w:ascii="Arial" w:hAnsi="Arial" w:cs="Arial"/>
        <w:b/>
        <w:sz w:val="32"/>
        <w:szCs w:val="32"/>
      </w:rPr>
      <w:t xml:space="preserve">RISP </w:t>
    </w:r>
  </w:p>
  <w:p w:rsidR="001B59C4" w:rsidRPr="00A14C95" w:rsidRDefault="001B59C4">
    <w:pPr>
      <w:pStyle w:val="Header"/>
      <w:rPr>
        <w:rFonts w:ascii="Arial" w:hAnsi="Arial" w:cs="Arial"/>
        <w:sz w:val="32"/>
        <w:szCs w:val="32"/>
      </w:rPr>
    </w:pPr>
  </w:p>
  <w:p w:rsidR="001C5058" w:rsidRPr="00A14C95" w:rsidRDefault="001C5058">
    <w:pPr>
      <w:pStyle w:val="Header"/>
      <w:rPr>
        <w:rFonts w:ascii="Arial" w:hAnsi="Arial" w:cs="Arial"/>
        <w:b/>
      </w:rPr>
    </w:pPr>
    <w:r w:rsidRPr="00A14C95">
      <w:rPr>
        <w:rFonts w:ascii="Arial" w:hAnsi="Arial" w:cs="Arial"/>
        <w:sz w:val="28"/>
        <w:szCs w:val="28"/>
      </w:rPr>
      <w:tab/>
    </w:r>
    <w:r w:rsidRPr="00A14C95">
      <w:rPr>
        <w:rFonts w:ascii="Arial" w:hAnsi="Arial" w:cs="Arial"/>
        <w:b/>
      </w:rPr>
      <w:t>Research Information Sheet for Practices</w:t>
    </w:r>
  </w:p>
  <w:p w:rsidR="001C5058" w:rsidRPr="006B21DC" w:rsidRDefault="001C5058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95" w:rsidRDefault="00A14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E0"/>
    <w:multiLevelType w:val="hybridMultilevel"/>
    <w:tmpl w:val="A9DAC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48"/>
    <w:multiLevelType w:val="hybridMultilevel"/>
    <w:tmpl w:val="F0C2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99"/>
    <w:multiLevelType w:val="hybridMultilevel"/>
    <w:tmpl w:val="F98E8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707B"/>
    <w:multiLevelType w:val="hybridMultilevel"/>
    <w:tmpl w:val="CE68E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85110"/>
    <w:multiLevelType w:val="hybridMultilevel"/>
    <w:tmpl w:val="49EA0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CB1"/>
    <w:multiLevelType w:val="hybridMultilevel"/>
    <w:tmpl w:val="6FD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A7E83"/>
    <w:multiLevelType w:val="hybridMultilevel"/>
    <w:tmpl w:val="84985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2A0D"/>
    <w:multiLevelType w:val="hybridMultilevel"/>
    <w:tmpl w:val="F27E8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14F7"/>
    <w:multiLevelType w:val="hybridMultilevel"/>
    <w:tmpl w:val="E70E9044"/>
    <w:lvl w:ilvl="0" w:tplc="A1641B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2450BC"/>
    <w:multiLevelType w:val="hybridMultilevel"/>
    <w:tmpl w:val="7B04B2F0"/>
    <w:lvl w:ilvl="0" w:tplc="2C9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0EA4"/>
    <w:multiLevelType w:val="hybridMultilevel"/>
    <w:tmpl w:val="995285FC"/>
    <w:lvl w:ilvl="0" w:tplc="1A50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0674A3"/>
    <w:multiLevelType w:val="hybridMultilevel"/>
    <w:tmpl w:val="265CEEDA"/>
    <w:lvl w:ilvl="0" w:tplc="E7902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B5F5B"/>
    <w:multiLevelType w:val="hybridMultilevel"/>
    <w:tmpl w:val="F19C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6B0E"/>
    <w:multiLevelType w:val="hybridMultilevel"/>
    <w:tmpl w:val="B16E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4BD8"/>
    <w:multiLevelType w:val="hybridMultilevel"/>
    <w:tmpl w:val="AAEC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0CA2"/>
    <w:multiLevelType w:val="hybridMultilevel"/>
    <w:tmpl w:val="8D8E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A08E7"/>
    <w:multiLevelType w:val="hybridMultilevel"/>
    <w:tmpl w:val="4540148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8791C0B"/>
    <w:multiLevelType w:val="hybridMultilevel"/>
    <w:tmpl w:val="482A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F48EE"/>
    <w:multiLevelType w:val="hybridMultilevel"/>
    <w:tmpl w:val="58A4121A"/>
    <w:lvl w:ilvl="0" w:tplc="0C5EE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768F"/>
    <w:multiLevelType w:val="hybridMultilevel"/>
    <w:tmpl w:val="8D907002"/>
    <w:lvl w:ilvl="0" w:tplc="8C4A7B7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15BE"/>
    <w:multiLevelType w:val="hybridMultilevel"/>
    <w:tmpl w:val="9990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1BC8"/>
    <w:multiLevelType w:val="hybridMultilevel"/>
    <w:tmpl w:val="EDDC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D0379E2"/>
    <w:multiLevelType w:val="multilevel"/>
    <w:tmpl w:val="6DC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F393A"/>
    <w:multiLevelType w:val="hybridMultilevel"/>
    <w:tmpl w:val="50A41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B0BEC"/>
    <w:multiLevelType w:val="hybridMultilevel"/>
    <w:tmpl w:val="0414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B6573"/>
    <w:multiLevelType w:val="multilevel"/>
    <w:tmpl w:val="315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378FB"/>
    <w:multiLevelType w:val="hybridMultilevel"/>
    <w:tmpl w:val="2C60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52D61"/>
    <w:multiLevelType w:val="hybridMultilevel"/>
    <w:tmpl w:val="61848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436ED"/>
    <w:multiLevelType w:val="hybridMultilevel"/>
    <w:tmpl w:val="C118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117"/>
    <w:multiLevelType w:val="hybridMultilevel"/>
    <w:tmpl w:val="EB52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28"/>
  </w:num>
  <w:num w:numId="9">
    <w:abstractNumId w:val="4"/>
  </w:num>
  <w:num w:numId="10">
    <w:abstractNumId w:val="17"/>
  </w:num>
  <w:num w:numId="11">
    <w:abstractNumId w:val="6"/>
  </w:num>
  <w:num w:numId="12">
    <w:abstractNumId w:val="22"/>
  </w:num>
  <w:num w:numId="13">
    <w:abstractNumId w:val="3"/>
  </w:num>
  <w:num w:numId="14">
    <w:abstractNumId w:val="10"/>
  </w:num>
  <w:num w:numId="15">
    <w:abstractNumId w:val="19"/>
  </w:num>
  <w:num w:numId="16">
    <w:abstractNumId w:val="25"/>
  </w:num>
  <w:num w:numId="17">
    <w:abstractNumId w:val="8"/>
  </w:num>
  <w:num w:numId="18">
    <w:abstractNumId w:val="16"/>
  </w:num>
  <w:num w:numId="19">
    <w:abstractNumId w:val="21"/>
  </w:num>
  <w:num w:numId="20">
    <w:abstractNumId w:val="5"/>
  </w:num>
  <w:num w:numId="21">
    <w:abstractNumId w:val="23"/>
  </w:num>
  <w:num w:numId="22">
    <w:abstractNumId w:val="13"/>
  </w:num>
  <w:num w:numId="23">
    <w:abstractNumId w:val="12"/>
  </w:num>
  <w:num w:numId="24">
    <w:abstractNumId w:val="26"/>
  </w:num>
  <w:num w:numId="25">
    <w:abstractNumId w:val="18"/>
  </w:num>
  <w:num w:numId="26">
    <w:abstractNumId w:val="15"/>
  </w:num>
  <w:num w:numId="27">
    <w:abstractNumId w:val="24"/>
  </w:num>
  <w:num w:numId="28">
    <w:abstractNumId w:val="29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2"/>
    <w:rsid w:val="00024C69"/>
    <w:rsid w:val="00044374"/>
    <w:rsid w:val="000458C7"/>
    <w:rsid w:val="00085D9E"/>
    <w:rsid w:val="00097570"/>
    <w:rsid w:val="000B0FF9"/>
    <w:rsid w:val="000B2677"/>
    <w:rsid w:val="000B4031"/>
    <w:rsid w:val="000B5558"/>
    <w:rsid w:val="000C5EB0"/>
    <w:rsid w:val="000E3072"/>
    <w:rsid w:val="000F3A2C"/>
    <w:rsid w:val="001110FE"/>
    <w:rsid w:val="001163EC"/>
    <w:rsid w:val="00123AE9"/>
    <w:rsid w:val="00137F4B"/>
    <w:rsid w:val="00142FE1"/>
    <w:rsid w:val="00152BA0"/>
    <w:rsid w:val="00153B74"/>
    <w:rsid w:val="0015504E"/>
    <w:rsid w:val="00156E65"/>
    <w:rsid w:val="0016344F"/>
    <w:rsid w:val="00187ADC"/>
    <w:rsid w:val="00195AC1"/>
    <w:rsid w:val="001B08F6"/>
    <w:rsid w:val="001B59C4"/>
    <w:rsid w:val="001B7FF8"/>
    <w:rsid w:val="001C3633"/>
    <w:rsid w:val="001C5058"/>
    <w:rsid w:val="001C719E"/>
    <w:rsid w:val="00225B27"/>
    <w:rsid w:val="00226055"/>
    <w:rsid w:val="00226855"/>
    <w:rsid w:val="00231382"/>
    <w:rsid w:val="00243243"/>
    <w:rsid w:val="00243A00"/>
    <w:rsid w:val="00253281"/>
    <w:rsid w:val="00254308"/>
    <w:rsid w:val="002825F3"/>
    <w:rsid w:val="002875C8"/>
    <w:rsid w:val="00295DC3"/>
    <w:rsid w:val="00297160"/>
    <w:rsid w:val="002A4836"/>
    <w:rsid w:val="002B79A5"/>
    <w:rsid w:val="002C464C"/>
    <w:rsid w:val="002E023F"/>
    <w:rsid w:val="002F1696"/>
    <w:rsid w:val="002F394F"/>
    <w:rsid w:val="0031402F"/>
    <w:rsid w:val="00314FB6"/>
    <w:rsid w:val="003348AA"/>
    <w:rsid w:val="00346826"/>
    <w:rsid w:val="00363449"/>
    <w:rsid w:val="003A5A51"/>
    <w:rsid w:val="003D09C6"/>
    <w:rsid w:val="003E0D58"/>
    <w:rsid w:val="004072E4"/>
    <w:rsid w:val="00453407"/>
    <w:rsid w:val="00460DCF"/>
    <w:rsid w:val="00464661"/>
    <w:rsid w:val="00477861"/>
    <w:rsid w:val="00486C6A"/>
    <w:rsid w:val="004A03CE"/>
    <w:rsid w:val="004A7C7A"/>
    <w:rsid w:val="004B61D1"/>
    <w:rsid w:val="00512795"/>
    <w:rsid w:val="00526519"/>
    <w:rsid w:val="00556196"/>
    <w:rsid w:val="00563D6B"/>
    <w:rsid w:val="00564DC4"/>
    <w:rsid w:val="005656C8"/>
    <w:rsid w:val="005A490A"/>
    <w:rsid w:val="005D3C0F"/>
    <w:rsid w:val="005F4303"/>
    <w:rsid w:val="005F44C5"/>
    <w:rsid w:val="005F6767"/>
    <w:rsid w:val="0062149D"/>
    <w:rsid w:val="006226EE"/>
    <w:rsid w:val="00626BFA"/>
    <w:rsid w:val="006476DD"/>
    <w:rsid w:val="00651BE7"/>
    <w:rsid w:val="00656741"/>
    <w:rsid w:val="00670E66"/>
    <w:rsid w:val="00684207"/>
    <w:rsid w:val="006B063F"/>
    <w:rsid w:val="006B2027"/>
    <w:rsid w:val="006B21DC"/>
    <w:rsid w:val="006B5770"/>
    <w:rsid w:val="006D27BB"/>
    <w:rsid w:val="006E1BCD"/>
    <w:rsid w:val="0070369B"/>
    <w:rsid w:val="00707F3D"/>
    <w:rsid w:val="00724D1B"/>
    <w:rsid w:val="00726215"/>
    <w:rsid w:val="00726A83"/>
    <w:rsid w:val="00732B3A"/>
    <w:rsid w:val="0075147E"/>
    <w:rsid w:val="0076773A"/>
    <w:rsid w:val="007719DA"/>
    <w:rsid w:val="00790DB1"/>
    <w:rsid w:val="007A0104"/>
    <w:rsid w:val="007A747A"/>
    <w:rsid w:val="007C4375"/>
    <w:rsid w:val="007D3F44"/>
    <w:rsid w:val="007F5AF1"/>
    <w:rsid w:val="008135FD"/>
    <w:rsid w:val="00814114"/>
    <w:rsid w:val="00823278"/>
    <w:rsid w:val="00832DB1"/>
    <w:rsid w:val="0083388F"/>
    <w:rsid w:val="0084349E"/>
    <w:rsid w:val="00856896"/>
    <w:rsid w:val="00884B3C"/>
    <w:rsid w:val="00890E5D"/>
    <w:rsid w:val="008A709B"/>
    <w:rsid w:val="008B0FD0"/>
    <w:rsid w:val="008D757D"/>
    <w:rsid w:val="008E1094"/>
    <w:rsid w:val="008E3388"/>
    <w:rsid w:val="008E5213"/>
    <w:rsid w:val="008F2AFF"/>
    <w:rsid w:val="0090111A"/>
    <w:rsid w:val="0090144D"/>
    <w:rsid w:val="00911418"/>
    <w:rsid w:val="00912216"/>
    <w:rsid w:val="00936FBA"/>
    <w:rsid w:val="009430E5"/>
    <w:rsid w:val="00946E8B"/>
    <w:rsid w:val="0096128D"/>
    <w:rsid w:val="009665B0"/>
    <w:rsid w:val="00972B20"/>
    <w:rsid w:val="009967DD"/>
    <w:rsid w:val="009B186E"/>
    <w:rsid w:val="009C7AA1"/>
    <w:rsid w:val="009D03F1"/>
    <w:rsid w:val="00A14C95"/>
    <w:rsid w:val="00A206CC"/>
    <w:rsid w:val="00A208CE"/>
    <w:rsid w:val="00A2409C"/>
    <w:rsid w:val="00A57DBA"/>
    <w:rsid w:val="00A6486A"/>
    <w:rsid w:val="00A656F3"/>
    <w:rsid w:val="00A94443"/>
    <w:rsid w:val="00AA7F0C"/>
    <w:rsid w:val="00AC3422"/>
    <w:rsid w:val="00AC53BE"/>
    <w:rsid w:val="00AF3E7F"/>
    <w:rsid w:val="00AF63AB"/>
    <w:rsid w:val="00B004FE"/>
    <w:rsid w:val="00B02564"/>
    <w:rsid w:val="00B21943"/>
    <w:rsid w:val="00B21A0E"/>
    <w:rsid w:val="00B3549B"/>
    <w:rsid w:val="00B5187D"/>
    <w:rsid w:val="00B57172"/>
    <w:rsid w:val="00B70DD8"/>
    <w:rsid w:val="00B73FA8"/>
    <w:rsid w:val="00B9781F"/>
    <w:rsid w:val="00BC433C"/>
    <w:rsid w:val="00BD6866"/>
    <w:rsid w:val="00BE7122"/>
    <w:rsid w:val="00C16B03"/>
    <w:rsid w:val="00C64B4D"/>
    <w:rsid w:val="00C74E9A"/>
    <w:rsid w:val="00C760BE"/>
    <w:rsid w:val="00C774BB"/>
    <w:rsid w:val="00C81F60"/>
    <w:rsid w:val="00C84919"/>
    <w:rsid w:val="00C97386"/>
    <w:rsid w:val="00CA767C"/>
    <w:rsid w:val="00CC1816"/>
    <w:rsid w:val="00CC4527"/>
    <w:rsid w:val="00CC51A2"/>
    <w:rsid w:val="00CD4638"/>
    <w:rsid w:val="00CE115B"/>
    <w:rsid w:val="00D43368"/>
    <w:rsid w:val="00D55348"/>
    <w:rsid w:val="00DA4DE3"/>
    <w:rsid w:val="00DB7090"/>
    <w:rsid w:val="00DD3D1F"/>
    <w:rsid w:val="00DE5670"/>
    <w:rsid w:val="00DF4595"/>
    <w:rsid w:val="00E10604"/>
    <w:rsid w:val="00E13DBA"/>
    <w:rsid w:val="00E16CF2"/>
    <w:rsid w:val="00E1773B"/>
    <w:rsid w:val="00E20905"/>
    <w:rsid w:val="00E23F33"/>
    <w:rsid w:val="00E41C6B"/>
    <w:rsid w:val="00E43F24"/>
    <w:rsid w:val="00E60111"/>
    <w:rsid w:val="00E60770"/>
    <w:rsid w:val="00E62AA5"/>
    <w:rsid w:val="00E7431A"/>
    <w:rsid w:val="00E772B0"/>
    <w:rsid w:val="00E81D84"/>
    <w:rsid w:val="00E95263"/>
    <w:rsid w:val="00E9530F"/>
    <w:rsid w:val="00E9704A"/>
    <w:rsid w:val="00E97474"/>
    <w:rsid w:val="00EB1114"/>
    <w:rsid w:val="00EC0CB7"/>
    <w:rsid w:val="00EC78A9"/>
    <w:rsid w:val="00EE44CC"/>
    <w:rsid w:val="00EE4A09"/>
    <w:rsid w:val="00EF197D"/>
    <w:rsid w:val="00F07FB2"/>
    <w:rsid w:val="00F22255"/>
    <w:rsid w:val="00F230E1"/>
    <w:rsid w:val="00F25D51"/>
    <w:rsid w:val="00F443E8"/>
    <w:rsid w:val="00F454D1"/>
    <w:rsid w:val="00FB198E"/>
    <w:rsid w:val="00FB53F2"/>
    <w:rsid w:val="00FC66B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1D9BBFF-8058-4746-88DA-BF85DDC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5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9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C51A2"/>
    <w:rPr>
      <w:rFonts w:cs="Times New Roman"/>
    </w:rPr>
  </w:style>
  <w:style w:type="character" w:styleId="Hyperlink">
    <w:name w:val="Hyperlink"/>
    <w:basedOn w:val="DefaultParagraphFont"/>
    <w:uiPriority w:val="99"/>
    <w:rsid w:val="00A24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9C"/>
    <w:rPr>
      <w:sz w:val="0"/>
      <w:szCs w:val="0"/>
    </w:rPr>
  </w:style>
  <w:style w:type="paragraph" w:customStyle="1" w:styleId="Default">
    <w:name w:val="Default"/>
    <w:rsid w:val="0024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4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F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1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E307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E3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07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30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.l.harrison@warwick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jennifer.dumbleton@nottingham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rah.joshi@warwick.ac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.j.hoverd@warwick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E1592BEB8774DA933C264CCCB173E" ma:contentTypeVersion="0" ma:contentTypeDescription="Create a new document." ma:contentTypeScope="" ma:versionID="1589c75c66a4b547a707c70961b1c2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9AAF-2862-42B2-88D0-9577C9390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5C221-81CA-4FE4-A6D2-2F11F60CC60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1BB98B-34F0-48E4-91DE-4B64A4E95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C5D07A-BD02-4C7A-9EFF-AE4F47B1A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61073D-069D-4F7E-925C-EA8164E1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5BE1E75E</Template>
  <TotalTime>139</TotalTime>
  <Pages>2</Pages>
  <Words>693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further information please contact:</vt:lpstr>
    </vt:vector>
  </TitlesOfParts>
  <Company>BRENTPCT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further information please contact:</dc:title>
  <dc:creator>shilpi.mehra</dc:creator>
  <cp:lastModifiedBy>Harrison, Rebecca</cp:lastModifiedBy>
  <cp:revision>7</cp:revision>
  <cp:lastPrinted>2015-10-20T11:00:00Z</cp:lastPrinted>
  <dcterms:created xsi:type="dcterms:W3CDTF">2015-10-15T10:03:00Z</dcterms:created>
  <dcterms:modified xsi:type="dcterms:W3CDTF">2015-10-21T09:14:00Z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0x010100027E1592BEB8774DA933C264CCCB173E</vt:lpwstr>
  </property>
</Properties>
</file>