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6D" w:rsidRPr="0022380E" w:rsidRDefault="0022380E" w:rsidP="00790184">
      <w:pPr>
        <w:jc w:val="center"/>
        <w:rPr>
          <w:b/>
        </w:rPr>
      </w:pPr>
      <w:r w:rsidRPr="0022380E">
        <w:rPr>
          <w:b/>
        </w:rPr>
        <w:t xml:space="preserve">Current and Future </w:t>
      </w:r>
      <w:r w:rsidR="007854BF">
        <w:rPr>
          <w:b/>
        </w:rPr>
        <w:t>Work</w:t>
      </w:r>
    </w:p>
    <w:p w:rsidR="007854BF" w:rsidRPr="007854BF" w:rsidRDefault="007854BF">
      <w:pPr>
        <w:rPr>
          <w:u w:val="single"/>
        </w:rPr>
      </w:pPr>
      <w:r>
        <w:rPr>
          <w:u w:val="single"/>
        </w:rPr>
        <w:t>Current work</w:t>
      </w:r>
    </w:p>
    <w:p w:rsidR="003A7E8D" w:rsidRDefault="003B3F17">
      <w:r>
        <w:t xml:space="preserve">The following tasks have been completed </w:t>
      </w:r>
      <w:r w:rsidR="009D26B3">
        <w:t>since</w:t>
      </w:r>
      <w:r>
        <w:t xml:space="preserve"> the last service board</w:t>
      </w:r>
      <w:r w:rsidR="00CF7716">
        <w:t>.</w:t>
      </w:r>
    </w:p>
    <w:tbl>
      <w:tblPr>
        <w:tblStyle w:val="LightList"/>
        <w:tblW w:w="0" w:type="auto"/>
        <w:tblLook w:val="04A0"/>
      </w:tblPr>
      <w:tblGrid>
        <w:gridCol w:w="2313"/>
        <w:gridCol w:w="10777"/>
        <w:gridCol w:w="1084"/>
      </w:tblGrid>
      <w:tr w:rsidR="005A53C9" w:rsidTr="005E2739">
        <w:trPr>
          <w:cnfStyle w:val="100000000000"/>
        </w:trPr>
        <w:tc>
          <w:tcPr>
            <w:cnfStyle w:val="001000000000"/>
            <w:tcW w:w="0" w:type="auto"/>
          </w:tcPr>
          <w:p w:rsidR="003A7E8D" w:rsidRDefault="003A7E8D">
            <w:r>
              <w:t>Area</w:t>
            </w:r>
          </w:p>
        </w:tc>
        <w:tc>
          <w:tcPr>
            <w:tcW w:w="0" w:type="auto"/>
          </w:tcPr>
          <w:p w:rsidR="003A7E8D" w:rsidRDefault="0022380E">
            <w:pPr>
              <w:cnfStyle w:val="100000000000"/>
            </w:pPr>
            <w:r>
              <w:t>Description</w:t>
            </w:r>
          </w:p>
        </w:tc>
        <w:tc>
          <w:tcPr>
            <w:tcW w:w="0" w:type="auto"/>
          </w:tcPr>
          <w:p w:rsidR="003A7E8D" w:rsidRDefault="00943D04">
            <w:pPr>
              <w:cnfStyle w:val="100000000000"/>
            </w:pPr>
            <w:r>
              <w:t>Status</w:t>
            </w:r>
          </w:p>
        </w:tc>
      </w:tr>
      <w:tr w:rsidR="005A53C9" w:rsidTr="005E2739">
        <w:trPr>
          <w:cnfStyle w:val="000000100000"/>
        </w:trPr>
        <w:tc>
          <w:tcPr>
            <w:cnfStyle w:val="001000000000"/>
            <w:tcW w:w="0" w:type="auto"/>
          </w:tcPr>
          <w:p w:rsidR="003A7E8D" w:rsidRDefault="003A7E8D" w:rsidP="003A7E8D">
            <w:r>
              <w:t>PG Admissions reports</w:t>
            </w:r>
          </w:p>
        </w:tc>
        <w:tc>
          <w:tcPr>
            <w:tcW w:w="0" w:type="auto"/>
          </w:tcPr>
          <w:p w:rsidR="003A7E8D" w:rsidRDefault="003A7E8D" w:rsidP="0058464C">
            <w:pPr>
              <w:cnfStyle w:val="000000100000"/>
            </w:pPr>
            <w:r>
              <w:t xml:space="preserve">The PG reports </w:t>
            </w:r>
            <w:r w:rsidR="0058464C">
              <w:t xml:space="preserve">Admissions statistics reports have been released to production and are being used </w:t>
            </w:r>
            <w:r w:rsidR="003C6A37">
              <w:t>on a daily basis</w:t>
            </w:r>
            <w:r w:rsidR="009D26B3">
              <w:t>, see metrics document.</w:t>
            </w:r>
          </w:p>
        </w:tc>
        <w:tc>
          <w:tcPr>
            <w:tcW w:w="0" w:type="auto"/>
          </w:tcPr>
          <w:p w:rsidR="003A7E8D" w:rsidRDefault="0058464C">
            <w:pPr>
              <w:cnfStyle w:val="000000100000"/>
            </w:pPr>
            <w:r>
              <w:t>Complete</w:t>
            </w:r>
          </w:p>
        </w:tc>
      </w:tr>
      <w:tr w:rsidR="005A53C9" w:rsidTr="005E2739">
        <w:tc>
          <w:tcPr>
            <w:cnfStyle w:val="001000000000"/>
            <w:tcW w:w="0" w:type="auto"/>
          </w:tcPr>
          <w:p w:rsidR="00943D04" w:rsidRDefault="00943D04" w:rsidP="0058464C">
            <w:r>
              <w:t>UG</w:t>
            </w:r>
            <w:r w:rsidR="00AD3107">
              <w:t xml:space="preserve"> Admissions</w:t>
            </w:r>
            <w:r>
              <w:t xml:space="preserve"> Management Information</w:t>
            </w:r>
          </w:p>
        </w:tc>
        <w:tc>
          <w:tcPr>
            <w:tcW w:w="0" w:type="auto"/>
          </w:tcPr>
          <w:p w:rsidR="00943D04" w:rsidRDefault="00943D04" w:rsidP="00AD3107">
            <w:pPr>
              <w:cnfStyle w:val="000000000000"/>
            </w:pPr>
            <w:r>
              <w:t xml:space="preserve">The </w:t>
            </w:r>
            <w:r w:rsidR="00AD3107">
              <w:t xml:space="preserve">UG </w:t>
            </w:r>
            <w:r>
              <w:t>MI</w:t>
            </w:r>
            <w:r w:rsidR="00AD3107">
              <w:t xml:space="preserve"> </w:t>
            </w:r>
            <w:r>
              <w:t>Reports</w:t>
            </w:r>
            <w:r w:rsidR="00AD3107">
              <w:t xml:space="preserve"> which provide metrics on the admissions process </w:t>
            </w:r>
            <w:r w:rsidR="0058464C">
              <w:t>have been released to production</w:t>
            </w:r>
          </w:p>
        </w:tc>
        <w:tc>
          <w:tcPr>
            <w:tcW w:w="0" w:type="auto"/>
          </w:tcPr>
          <w:p w:rsidR="00943D04" w:rsidRDefault="0058464C">
            <w:pPr>
              <w:cnfStyle w:val="000000000000"/>
            </w:pPr>
            <w:r>
              <w:t>Complete</w:t>
            </w:r>
          </w:p>
        </w:tc>
      </w:tr>
      <w:tr w:rsidR="005A53C9" w:rsidTr="005E2739">
        <w:trPr>
          <w:cnfStyle w:val="000000100000"/>
        </w:trPr>
        <w:tc>
          <w:tcPr>
            <w:cnfStyle w:val="001000000000"/>
            <w:tcW w:w="0" w:type="auto"/>
          </w:tcPr>
          <w:p w:rsidR="00A463B4" w:rsidRDefault="00A463B4" w:rsidP="0058464C">
            <w:r>
              <w:t>PG MI reports</w:t>
            </w:r>
          </w:p>
        </w:tc>
        <w:tc>
          <w:tcPr>
            <w:tcW w:w="0" w:type="auto"/>
          </w:tcPr>
          <w:p w:rsidR="00A463B4" w:rsidRDefault="00A463B4" w:rsidP="001E00D7">
            <w:pPr>
              <w:cnfStyle w:val="000000100000"/>
            </w:pPr>
            <w:r>
              <w:t>These report have been released</w:t>
            </w:r>
            <w:r w:rsidR="00BE282D">
              <w:t xml:space="preserve"> </w:t>
            </w:r>
            <w:r>
              <w:t xml:space="preserve">for testing and subject to any post-testing </w:t>
            </w:r>
            <w:r w:rsidR="001E00D7">
              <w:t>changes</w:t>
            </w:r>
            <w:r>
              <w:t xml:space="preserve"> they will be released to the </w:t>
            </w:r>
            <w:r w:rsidR="001E00D7">
              <w:t>production</w:t>
            </w:r>
            <w:r>
              <w:t xml:space="preserve"> environment</w:t>
            </w:r>
          </w:p>
        </w:tc>
        <w:tc>
          <w:tcPr>
            <w:tcW w:w="0" w:type="auto"/>
          </w:tcPr>
          <w:p w:rsidR="00A463B4" w:rsidRDefault="00BE282D" w:rsidP="007B3D31">
            <w:pPr>
              <w:cnfStyle w:val="000000100000"/>
            </w:pPr>
            <w:r>
              <w:t>On-going</w:t>
            </w:r>
          </w:p>
        </w:tc>
      </w:tr>
      <w:tr w:rsidR="005A53C9" w:rsidTr="005E2739">
        <w:tc>
          <w:tcPr>
            <w:cnfStyle w:val="001000000000"/>
            <w:tcW w:w="0" w:type="auto"/>
          </w:tcPr>
          <w:p w:rsidR="003A7E8D" w:rsidRDefault="003A7E8D" w:rsidP="00BE282D">
            <w:r>
              <w:t>Project 1.3 Dashboard</w:t>
            </w:r>
          </w:p>
        </w:tc>
        <w:tc>
          <w:tcPr>
            <w:tcW w:w="0" w:type="auto"/>
          </w:tcPr>
          <w:p w:rsidR="0058464C" w:rsidRDefault="00BE282D" w:rsidP="00BE282D">
            <w:pPr>
              <w:cnfStyle w:val="000000000000"/>
            </w:pPr>
            <w:r>
              <w:t>The pre-award and application dashboards have been released to all HODS, pro V-Cs and their nominees.</w:t>
            </w:r>
          </w:p>
        </w:tc>
        <w:tc>
          <w:tcPr>
            <w:tcW w:w="0" w:type="auto"/>
          </w:tcPr>
          <w:p w:rsidR="003A7E8D" w:rsidRDefault="0058464C" w:rsidP="007B3D31">
            <w:pPr>
              <w:cnfStyle w:val="000000000000"/>
            </w:pPr>
            <w:r>
              <w:t>Complete</w:t>
            </w:r>
          </w:p>
        </w:tc>
      </w:tr>
      <w:tr w:rsidR="005A53C9" w:rsidTr="005E2739">
        <w:trPr>
          <w:cnfStyle w:val="000000100000"/>
        </w:trPr>
        <w:tc>
          <w:tcPr>
            <w:cnfStyle w:val="001000000000"/>
            <w:tcW w:w="0" w:type="auto"/>
          </w:tcPr>
          <w:p w:rsidR="00E72836" w:rsidRDefault="00E72836" w:rsidP="00E72836">
            <w:r>
              <w:t>RAE Analysis &amp;comparison</w:t>
            </w:r>
          </w:p>
        </w:tc>
        <w:tc>
          <w:tcPr>
            <w:tcW w:w="0" w:type="auto"/>
          </w:tcPr>
          <w:p w:rsidR="00E72836" w:rsidRDefault="00E72836" w:rsidP="00AD3107">
            <w:pPr>
              <w:cnfStyle w:val="000000100000"/>
            </w:pPr>
            <w:r>
              <w:t>A suite of reports used to analyse RAE data and also benchmark Warwick against other institutions</w:t>
            </w:r>
            <w:r w:rsidR="001E00D7">
              <w:t xml:space="preserve"> were made </w:t>
            </w:r>
            <w:r w:rsidR="00AD3107">
              <w:t>available to</w:t>
            </w:r>
            <w:r w:rsidR="001E00D7">
              <w:t xml:space="preserve"> AR MI&amp;P group &amp; pro V-Cs</w:t>
            </w:r>
          </w:p>
        </w:tc>
        <w:tc>
          <w:tcPr>
            <w:tcW w:w="0" w:type="auto"/>
          </w:tcPr>
          <w:p w:rsidR="00E72836" w:rsidRDefault="00E72836" w:rsidP="007B3D31">
            <w:pPr>
              <w:cnfStyle w:val="000000100000"/>
            </w:pPr>
            <w:r>
              <w:t>Complete</w:t>
            </w:r>
          </w:p>
        </w:tc>
      </w:tr>
      <w:tr w:rsidR="005A53C9" w:rsidTr="005E2739">
        <w:tc>
          <w:tcPr>
            <w:cnfStyle w:val="001000000000"/>
            <w:tcW w:w="0" w:type="auto"/>
          </w:tcPr>
          <w:p w:rsidR="00E72836" w:rsidRDefault="00E72836" w:rsidP="00BE282D">
            <w:r>
              <w:t>Monthly RSS reporting</w:t>
            </w:r>
          </w:p>
        </w:tc>
        <w:tc>
          <w:tcPr>
            <w:tcW w:w="0" w:type="auto"/>
          </w:tcPr>
          <w:p w:rsidR="00E72836" w:rsidRDefault="00E72836" w:rsidP="005A53C9">
            <w:pPr>
              <w:cnfStyle w:val="000000000000"/>
            </w:pPr>
            <w:r>
              <w:t xml:space="preserve">The monthly </w:t>
            </w:r>
            <w:r w:rsidR="001E00D7">
              <w:t xml:space="preserve">manual </w:t>
            </w:r>
            <w:r>
              <w:t xml:space="preserve">production of reports by RSS has been </w:t>
            </w:r>
            <w:r w:rsidR="005A53C9">
              <w:t xml:space="preserve">replaced by </w:t>
            </w:r>
            <w:r>
              <w:t>mechanised</w:t>
            </w:r>
            <w:r w:rsidR="005A53C9">
              <w:t xml:space="preserve"> reports from the Data Warehouse</w:t>
            </w:r>
            <w:r>
              <w:t>. The reports are eMailed to nominated contacts at the start of each month.</w:t>
            </w:r>
          </w:p>
        </w:tc>
        <w:tc>
          <w:tcPr>
            <w:tcW w:w="0" w:type="auto"/>
          </w:tcPr>
          <w:p w:rsidR="00E72836" w:rsidRDefault="00E72836" w:rsidP="007B3D31">
            <w:pPr>
              <w:cnfStyle w:val="000000000000"/>
            </w:pPr>
            <w:r>
              <w:t>Complete</w:t>
            </w:r>
          </w:p>
        </w:tc>
      </w:tr>
      <w:tr w:rsidR="005A53C9" w:rsidTr="005E2739">
        <w:trPr>
          <w:cnfStyle w:val="000000100000"/>
        </w:trPr>
        <w:tc>
          <w:tcPr>
            <w:cnfStyle w:val="001000000000"/>
            <w:tcW w:w="0" w:type="auto"/>
          </w:tcPr>
          <w:p w:rsidR="00A463B4" w:rsidRDefault="00A463B4" w:rsidP="005A53C9">
            <w:r>
              <w:t xml:space="preserve">Change to </w:t>
            </w:r>
            <w:r w:rsidR="005A53C9">
              <w:t>user authentication</w:t>
            </w:r>
          </w:p>
        </w:tc>
        <w:tc>
          <w:tcPr>
            <w:tcW w:w="0" w:type="auto"/>
          </w:tcPr>
          <w:p w:rsidR="00A463B4" w:rsidRDefault="00A463B4" w:rsidP="005A53C9">
            <w:pPr>
              <w:cnfStyle w:val="000000100000"/>
            </w:pPr>
            <w:r>
              <w:t xml:space="preserve">This was a </w:t>
            </w:r>
            <w:r w:rsidR="008D66C8">
              <w:t xml:space="preserve">necessary </w:t>
            </w:r>
            <w:r w:rsidR="005A53C9">
              <w:t xml:space="preserve">modification </w:t>
            </w:r>
            <w:r w:rsidR="001E00D7">
              <w:t>to the Warehouse infrastructure</w:t>
            </w:r>
            <w:r w:rsidR="003B3F17">
              <w:t xml:space="preserve">, </w:t>
            </w:r>
            <w:r w:rsidR="008D66C8">
              <w:t xml:space="preserve">triggered </w:t>
            </w:r>
            <w:r w:rsidR="003B3F17">
              <w:t>by a change within another IT services group. Th</w:t>
            </w:r>
            <w:r w:rsidR="005A53C9">
              <w:t xml:space="preserve">is change has </w:t>
            </w:r>
            <w:r w:rsidR="003B3F17">
              <w:t>halv</w:t>
            </w:r>
            <w:r w:rsidR="005A53C9">
              <w:t xml:space="preserve">ed </w:t>
            </w:r>
            <w:r w:rsidR="003B3F17">
              <w:t xml:space="preserve">the average time required to log in and </w:t>
            </w:r>
            <w:r w:rsidR="005A53C9">
              <w:t xml:space="preserve">has </w:t>
            </w:r>
            <w:r w:rsidR="003B3F17">
              <w:t>improv</w:t>
            </w:r>
            <w:r w:rsidR="005A53C9">
              <w:t>ed</w:t>
            </w:r>
            <w:r w:rsidR="003B3F17">
              <w:t xml:space="preserve"> the service robustness</w:t>
            </w:r>
            <w:r w:rsidR="008D66C8">
              <w:t xml:space="preserve"> by using many servers to </w:t>
            </w:r>
            <w:r w:rsidR="009D26B3">
              <w:t xml:space="preserve">validate </w:t>
            </w:r>
            <w:r w:rsidR="008D66C8">
              <w:t>login request</w:t>
            </w:r>
            <w:r w:rsidR="001E00D7">
              <w:t>s</w:t>
            </w:r>
            <w:r w:rsidR="008D66C8">
              <w:t xml:space="preserve"> rather than </w:t>
            </w:r>
            <w:r w:rsidR="009D26B3">
              <w:t xml:space="preserve">a </w:t>
            </w:r>
            <w:r w:rsidR="008D66C8">
              <w:t>single server.</w:t>
            </w:r>
          </w:p>
        </w:tc>
        <w:tc>
          <w:tcPr>
            <w:tcW w:w="0" w:type="auto"/>
          </w:tcPr>
          <w:p w:rsidR="00A463B4" w:rsidRDefault="00BE282D" w:rsidP="007B3D31">
            <w:pPr>
              <w:cnfStyle w:val="000000100000"/>
            </w:pPr>
            <w:r>
              <w:t>Complete</w:t>
            </w:r>
          </w:p>
        </w:tc>
      </w:tr>
      <w:tr w:rsidR="005A53C9" w:rsidTr="005E2739">
        <w:tc>
          <w:tcPr>
            <w:cnfStyle w:val="001000000000"/>
            <w:tcW w:w="0" w:type="auto"/>
          </w:tcPr>
          <w:p w:rsidR="00A463B4" w:rsidRDefault="00A463B4" w:rsidP="005A53C9">
            <w:r>
              <w:t>Validation of new server configuration</w:t>
            </w:r>
          </w:p>
        </w:tc>
        <w:tc>
          <w:tcPr>
            <w:tcW w:w="0" w:type="auto"/>
          </w:tcPr>
          <w:p w:rsidR="004564DD" w:rsidRDefault="008D66C8" w:rsidP="005A53C9">
            <w:pPr>
              <w:cnfStyle w:val="000000000000"/>
            </w:pPr>
            <w:r>
              <w:t xml:space="preserve">A new </w:t>
            </w:r>
            <w:r w:rsidR="005A53C9">
              <w:t>set</w:t>
            </w:r>
            <w:r>
              <w:t xml:space="preserve"> of </w:t>
            </w:r>
            <w:r w:rsidR="005A53C9">
              <w:t xml:space="preserve">MI </w:t>
            </w:r>
            <w:r>
              <w:t>servers w</w:t>
            </w:r>
            <w:r w:rsidR="005A53C9">
              <w:t>ere</w:t>
            </w:r>
            <w:r>
              <w:t xml:space="preserve"> </w:t>
            </w:r>
            <w:r w:rsidR="005A53C9">
              <w:t xml:space="preserve">commissioned, </w:t>
            </w:r>
            <w:r>
              <w:t>validat</w:t>
            </w:r>
            <w:r w:rsidR="005A53C9">
              <w:t>ing</w:t>
            </w:r>
            <w:r>
              <w:t xml:space="preserve"> a </w:t>
            </w:r>
            <w:r w:rsidR="005A53C9">
              <w:t>revised</w:t>
            </w:r>
            <w:r>
              <w:t xml:space="preserve"> </w:t>
            </w:r>
            <w:r w:rsidR="005A53C9">
              <w:t>organisation of the servers that comprise the MI service</w:t>
            </w:r>
            <w:r>
              <w:t xml:space="preserve">. </w:t>
            </w:r>
            <w:r w:rsidR="004564DD">
              <w:t xml:space="preserve">This was completed successfully and the benefits </w:t>
            </w:r>
            <w:r w:rsidR="005A53C9">
              <w:t>anticipated by the re-organisation, principally</w:t>
            </w:r>
            <w:r w:rsidR="004564DD">
              <w:t xml:space="preserve"> reducing IT </w:t>
            </w:r>
            <w:r w:rsidR="005A53C9">
              <w:t xml:space="preserve">Services </w:t>
            </w:r>
            <w:r w:rsidR="004564DD">
              <w:t xml:space="preserve">involvement in </w:t>
            </w:r>
            <w:r w:rsidR="005A53C9">
              <w:t xml:space="preserve">some of </w:t>
            </w:r>
            <w:r w:rsidR="004564DD">
              <w:t xml:space="preserve">the day to day running of MI operations </w:t>
            </w:r>
            <w:r w:rsidR="005A53C9">
              <w:t>and improving service robustness were confirmed</w:t>
            </w:r>
          </w:p>
        </w:tc>
        <w:tc>
          <w:tcPr>
            <w:tcW w:w="0" w:type="auto"/>
          </w:tcPr>
          <w:p w:rsidR="00A463B4" w:rsidRDefault="00BE282D" w:rsidP="007B3D31">
            <w:pPr>
              <w:cnfStyle w:val="000000000000"/>
            </w:pPr>
            <w:r>
              <w:t>Complete</w:t>
            </w:r>
          </w:p>
        </w:tc>
      </w:tr>
      <w:tr w:rsidR="005A53C9" w:rsidTr="005E2739">
        <w:trPr>
          <w:cnfStyle w:val="000000100000"/>
        </w:trPr>
        <w:tc>
          <w:tcPr>
            <w:cnfStyle w:val="001000000000"/>
            <w:tcW w:w="0" w:type="auto"/>
          </w:tcPr>
          <w:p w:rsidR="00B03559" w:rsidRDefault="00B03559" w:rsidP="00A463B4">
            <w:r>
              <w:t>Data load review</w:t>
            </w:r>
          </w:p>
        </w:tc>
        <w:tc>
          <w:tcPr>
            <w:tcW w:w="0" w:type="auto"/>
          </w:tcPr>
          <w:p w:rsidR="00B03559" w:rsidRDefault="00B03559" w:rsidP="005A53C9">
            <w:pPr>
              <w:cnfStyle w:val="000000100000"/>
            </w:pPr>
            <w:r>
              <w:t>An internal review of the data load process has been undertaken with the objective of reducing complexity, and improving the robustness of the load process</w:t>
            </w:r>
            <w:r w:rsidR="005A53C9">
              <w:t>. The review has been completed.</w:t>
            </w:r>
          </w:p>
        </w:tc>
        <w:tc>
          <w:tcPr>
            <w:tcW w:w="0" w:type="auto"/>
          </w:tcPr>
          <w:p w:rsidR="00B03559" w:rsidRDefault="00B03559" w:rsidP="007B3D31">
            <w:pPr>
              <w:cnfStyle w:val="000000100000"/>
            </w:pPr>
            <w:r>
              <w:t>Complete</w:t>
            </w:r>
          </w:p>
        </w:tc>
      </w:tr>
    </w:tbl>
    <w:p w:rsidR="009E17C2" w:rsidRDefault="009E17C2">
      <w:pPr>
        <w:rPr>
          <w:b/>
        </w:rPr>
      </w:pPr>
    </w:p>
    <w:p w:rsidR="007B3D31" w:rsidRPr="007854BF" w:rsidRDefault="00CD722A">
      <w:pPr>
        <w:rPr>
          <w:u w:val="single"/>
        </w:rPr>
      </w:pPr>
      <w:r>
        <w:rPr>
          <w:u w:val="single"/>
        </w:rPr>
        <w:t>Prioritising future work</w:t>
      </w:r>
    </w:p>
    <w:p w:rsidR="006A5782" w:rsidRDefault="007B3D31">
      <w:r>
        <w:t xml:space="preserve">The following are </w:t>
      </w:r>
      <w:r w:rsidR="00B842B1">
        <w:t>possible</w:t>
      </w:r>
      <w:r>
        <w:t xml:space="preserve"> future </w:t>
      </w:r>
      <w:r w:rsidR="006A5782">
        <w:t xml:space="preserve">areas of work. In total they represent a volume of work larger than the available development capacity. </w:t>
      </w:r>
    </w:p>
    <w:p w:rsidR="00CD722A" w:rsidRDefault="006A5782">
      <w:r>
        <w:lastRenderedPageBreak/>
        <w:t xml:space="preserve">The project board is asked to review the following table and </w:t>
      </w:r>
      <w:r w:rsidR="00763900">
        <w:t xml:space="preserve">assign priorities to the work to be undertaken. </w:t>
      </w:r>
      <w:r w:rsidR="00CD722A">
        <w:t>The following restriction</w:t>
      </w:r>
      <w:r w:rsidR="00C55CA6">
        <w:t>s</w:t>
      </w:r>
      <w:r w:rsidR="00CD722A">
        <w:t xml:space="preserve"> applies when considering projects to prioritise. </w:t>
      </w:r>
    </w:p>
    <w:p w:rsidR="00CD722A" w:rsidRDefault="00CD722A" w:rsidP="00C55CA6">
      <w:pPr>
        <w:pStyle w:val="ListParagraph"/>
        <w:numPr>
          <w:ilvl w:val="0"/>
          <w:numId w:val="2"/>
        </w:numPr>
      </w:pPr>
      <w:r>
        <w:t xml:space="preserve">No </w:t>
      </w:r>
      <w:r w:rsidR="00763900">
        <w:t>more than 2 projects that are rated as a substantial in the effort assessment column</w:t>
      </w:r>
      <w:r>
        <w:t xml:space="preserve"> can be </w:t>
      </w:r>
      <w:r w:rsidR="001E00D7">
        <w:t xml:space="preserve">worked on simultaneously </w:t>
      </w:r>
    </w:p>
    <w:p w:rsidR="006A5782" w:rsidRDefault="00C55CA6" w:rsidP="00C55CA6">
      <w:pPr>
        <w:pStyle w:val="ListParagraph"/>
        <w:numPr>
          <w:ilvl w:val="0"/>
          <w:numId w:val="2"/>
        </w:numPr>
      </w:pPr>
      <w:r>
        <w:t xml:space="preserve">Any number of projects with </w:t>
      </w:r>
      <w:r w:rsidR="00CD722A">
        <w:t xml:space="preserve"> </w:t>
      </w:r>
      <w:r>
        <w:t>an assessed number of days can be scheduled</w:t>
      </w:r>
    </w:p>
    <w:p w:rsidR="00C55CA6" w:rsidRDefault="00C55CA6" w:rsidP="00C55CA6">
      <w:pPr>
        <w:pStyle w:val="ListParagraph"/>
        <w:numPr>
          <w:ilvl w:val="0"/>
          <w:numId w:val="2"/>
        </w:numPr>
      </w:pPr>
      <w:r>
        <w:t xml:space="preserve">Where the assessment is not quantified an assessment of the effort required will be completed, if this indicates it is likely to be </w:t>
      </w:r>
      <w:r w:rsidR="001E00D7">
        <w:t>a</w:t>
      </w:r>
      <w:r>
        <w:t xml:space="preserve"> substantial </w:t>
      </w:r>
      <w:r w:rsidR="001E00D7">
        <w:t xml:space="preserve">portion of work </w:t>
      </w:r>
      <w:r>
        <w:t>then service board members will be contacted</w:t>
      </w:r>
      <w:r w:rsidR="00681FAD">
        <w:t xml:space="preserve"> by eMail to re-consider existing priorities.</w:t>
      </w:r>
    </w:p>
    <w:p w:rsidR="006E5E3A" w:rsidRDefault="006E5E3A" w:rsidP="006E5E3A">
      <w:r>
        <w:t>The effort assessment is the expected work for the ITS MI team, wher</w:t>
      </w:r>
      <w:r w:rsidR="00681FAD">
        <w:t>e</w:t>
      </w:r>
      <w:r>
        <w:t xml:space="preserve"> are other groups are listed in the resources required column there time is un</w:t>
      </w:r>
      <w:r w:rsidR="005A7913">
        <w:t>-</w:t>
      </w:r>
      <w:r>
        <w:t xml:space="preserve">assessed, for internal groups they will be asked to </w:t>
      </w:r>
      <w:r w:rsidR="00681FAD">
        <w:t xml:space="preserve">verify the requirements and </w:t>
      </w:r>
      <w:r>
        <w:t>test the changes made for correctness.</w:t>
      </w:r>
    </w:p>
    <w:tbl>
      <w:tblPr>
        <w:tblStyle w:val="LightList"/>
        <w:tblW w:w="0" w:type="auto"/>
        <w:tblLook w:val="04A0"/>
      </w:tblPr>
      <w:tblGrid>
        <w:gridCol w:w="521"/>
        <w:gridCol w:w="1642"/>
        <w:gridCol w:w="2892"/>
        <w:gridCol w:w="5229"/>
        <w:gridCol w:w="1333"/>
        <w:gridCol w:w="1344"/>
        <w:gridCol w:w="1213"/>
      </w:tblGrid>
      <w:tr w:rsidR="00681FAD" w:rsidTr="008B67AD">
        <w:trPr>
          <w:cnfStyle w:val="100000000000"/>
        </w:trPr>
        <w:tc>
          <w:tcPr>
            <w:cnfStyle w:val="001000000000"/>
            <w:tcW w:w="0" w:type="auto"/>
          </w:tcPr>
          <w:p w:rsidR="006035A9" w:rsidRDefault="006035A9">
            <w:r>
              <w:t>Ref</w:t>
            </w:r>
          </w:p>
        </w:tc>
        <w:tc>
          <w:tcPr>
            <w:tcW w:w="0" w:type="auto"/>
          </w:tcPr>
          <w:p w:rsidR="006035A9" w:rsidRDefault="00822F1C" w:rsidP="00822F1C">
            <w:pPr>
              <w:cnfStyle w:val="100000000000"/>
            </w:pPr>
            <w:r>
              <w:t>Lear o</w:t>
            </w:r>
            <w:r w:rsidR="006035A9">
              <w:t>rganisation</w:t>
            </w:r>
            <w:r>
              <w:t>(s)</w:t>
            </w:r>
          </w:p>
        </w:tc>
        <w:tc>
          <w:tcPr>
            <w:tcW w:w="0" w:type="auto"/>
          </w:tcPr>
          <w:p w:rsidR="006035A9" w:rsidRDefault="00454740">
            <w:pPr>
              <w:cnfStyle w:val="100000000000"/>
            </w:pPr>
            <w:r>
              <w:t>Name</w:t>
            </w:r>
          </w:p>
        </w:tc>
        <w:tc>
          <w:tcPr>
            <w:tcW w:w="0" w:type="auto"/>
          </w:tcPr>
          <w:p w:rsidR="006035A9" w:rsidRDefault="00454740">
            <w:pPr>
              <w:cnfStyle w:val="100000000000"/>
            </w:pPr>
            <w:r>
              <w:t>Summary</w:t>
            </w:r>
          </w:p>
        </w:tc>
        <w:tc>
          <w:tcPr>
            <w:tcW w:w="0" w:type="auto"/>
          </w:tcPr>
          <w:p w:rsidR="006035A9" w:rsidRDefault="006035A9">
            <w:pPr>
              <w:cnfStyle w:val="100000000000"/>
            </w:pPr>
            <w:r>
              <w:t>Resources required</w:t>
            </w:r>
          </w:p>
        </w:tc>
        <w:tc>
          <w:tcPr>
            <w:tcW w:w="0" w:type="auto"/>
          </w:tcPr>
          <w:p w:rsidR="006035A9" w:rsidRDefault="006035A9">
            <w:pPr>
              <w:cnfStyle w:val="100000000000"/>
            </w:pPr>
            <w:r>
              <w:t>Effort assessment</w:t>
            </w:r>
          </w:p>
        </w:tc>
        <w:tc>
          <w:tcPr>
            <w:tcW w:w="0" w:type="auto"/>
          </w:tcPr>
          <w:p w:rsidR="006035A9" w:rsidRDefault="006035A9">
            <w:pPr>
              <w:cnfStyle w:val="100000000000"/>
            </w:pPr>
            <w:r>
              <w:t>Priority</w:t>
            </w:r>
          </w:p>
        </w:tc>
      </w:tr>
      <w:tr w:rsidR="006035A9" w:rsidTr="008B67AD">
        <w:trPr>
          <w:cnfStyle w:val="000000100000"/>
        </w:trPr>
        <w:tc>
          <w:tcPr>
            <w:cnfStyle w:val="001000000000"/>
            <w:tcW w:w="0" w:type="auto"/>
          </w:tcPr>
          <w:p w:rsidR="006035A9" w:rsidRPr="008F369D" w:rsidRDefault="006035A9" w:rsidP="008F36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6035A9" w:rsidRDefault="00454740" w:rsidP="00716C7A">
            <w:pPr>
              <w:cnfStyle w:val="000000100000"/>
            </w:pPr>
            <w:r>
              <w:t>IT Services</w:t>
            </w:r>
          </w:p>
        </w:tc>
        <w:tc>
          <w:tcPr>
            <w:tcW w:w="0" w:type="auto"/>
          </w:tcPr>
          <w:p w:rsidR="006035A9" w:rsidRDefault="006035A9" w:rsidP="00716C7A">
            <w:pPr>
              <w:cnfStyle w:val="000000100000"/>
            </w:pPr>
            <w:r>
              <w:t>Data Warehouse server configuration</w:t>
            </w:r>
          </w:p>
        </w:tc>
        <w:tc>
          <w:tcPr>
            <w:tcW w:w="0" w:type="auto"/>
          </w:tcPr>
          <w:p w:rsidR="006035A9" w:rsidRDefault="006035A9" w:rsidP="006035A9">
            <w:pPr>
              <w:cnfStyle w:val="000000100000"/>
            </w:pPr>
            <w:r>
              <w:t>The production Cognos servers will be replaced over the summer vacation. In addition to the replacement of the servers the Cognos software organisation will be changed. This re-organisation will allow the devolution of control to end users, reducing reliance on IT services, increasing the available development time from the ITS MI team.</w:t>
            </w:r>
          </w:p>
        </w:tc>
        <w:tc>
          <w:tcPr>
            <w:tcW w:w="0" w:type="auto"/>
          </w:tcPr>
          <w:p w:rsidR="006035A9" w:rsidRDefault="006035A9" w:rsidP="005208B3">
            <w:pPr>
              <w:cnfStyle w:val="000000100000"/>
            </w:pPr>
            <w:r>
              <w:t>MI Team</w:t>
            </w:r>
          </w:p>
          <w:p w:rsidR="006035A9" w:rsidRDefault="006035A9" w:rsidP="005208B3">
            <w:pPr>
              <w:cnfStyle w:val="000000100000"/>
            </w:pPr>
            <w:r>
              <w:t>Simpsons associates</w:t>
            </w:r>
          </w:p>
        </w:tc>
        <w:tc>
          <w:tcPr>
            <w:tcW w:w="0" w:type="auto"/>
          </w:tcPr>
          <w:p w:rsidR="006035A9" w:rsidRDefault="006035A9" w:rsidP="005208B3">
            <w:pPr>
              <w:cnfStyle w:val="000000100000"/>
            </w:pPr>
            <w:r>
              <w:t>5 days</w:t>
            </w:r>
          </w:p>
          <w:p w:rsidR="006035A9" w:rsidRDefault="006035A9" w:rsidP="005208B3">
            <w:pPr>
              <w:cnfStyle w:val="000000100000"/>
            </w:pPr>
            <w:r>
              <w:t>MI Team</w:t>
            </w:r>
          </w:p>
        </w:tc>
        <w:tc>
          <w:tcPr>
            <w:tcW w:w="0" w:type="auto"/>
          </w:tcPr>
          <w:p w:rsidR="006035A9" w:rsidRDefault="006035A9" w:rsidP="005208B3">
            <w:pPr>
              <w:cnfStyle w:val="000000100000"/>
            </w:pPr>
            <w:r>
              <w:t>Mandatory</w:t>
            </w:r>
          </w:p>
        </w:tc>
      </w:tr>
      <w:tr w:rsidR="00B842B1" w:rsidTr="008B67AD">
        <w:tc>
          <w:tcPr>
            <w:cnfStyle w:val="001000000000"/>
            <w:tcW w:w="0" w:type="auto"/>
          </w:tcPr>
          <w:p w:rsidR="00B842B1" w:rsidRPr="008F369D" w:rsidRDefault="00B842B1" w:rsidP="00B842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B842B1" w:rsidRPr="0054551C" w:rsidRDefault="00B842B1" w:rsidP="00B842B1">
            <w:pPr>
              <w:cnfStyle w:val="000000000000"/>
            </w:pPr>
            <w:r>
              <w:t>AR</w:t>
            </w:r>
          </w:p>
        </w:tc>
        <w:tc>
          <w:tcPr>
            <w:tcW w:w="0" w:type="auto"/>
          </w:tcPr>
          <w:p w:rsidR="00B842B1" w:rsidRPr="0054551C" w:rsidRDefault="00B842B1" w:rsidP="00B842B1">
            <w:pPr>
              <w:cnfStyle w:val="000000000000"/>
            </w:pPr>
            <w:r w:rsidRPr="0054551C">
              <w:t>Additional RFT codes for students suspended/withdrawn due to visa restrictions</w:t>
            </w:r>
          </w:p>
        </w:tc>
        <w:tc>
          <w:tcPr>
            <w:tcW w:w="0" w:type="auto"/>
          </w:tcPr>
          <w:p w:rsidR="00B842B1" w:rsidRDefault="00B842B1" w:rsidP="005B4D78">
            <w:pPr>
              <w:cnfStyle w:val="000000000000"/>
            </w:pPr>
            <w:r>
              <w:t xml:space="preserve">This </w:t>
            </w:r>
            <w:r w:rsidR="000574EA">
              <w:t xml:space="preserve">work is </w:t>
            </w:r>
            <w:r w:rsidR="005B4D78">
              <w:t>part of</w:t>
            </w:r>
            <w:r w:rsidR="000574EA">
              <w:t xml:space="preserve"> AR Project AR0018 which </w:t>
            </w:r>
            <w:r>
              <w:t>has been considered by the ARAO project director</w:t>
            </w:r>
            <w:r w:rsidR="000574EA">
              <w:t>ate and has been scheduled for Q4 08/09</w:t>
            </w:r>
            <w:r w:rsidR="005B4D78">
              <w:t>.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  <w:r>
              <w:t>MI Team</w:t>
            </w:r>
          </w:p>
          <w:p w:rsidR="006E5E3A" w:rsidRDefault="006E5E3A" w:rsidP="00B842B1">
            <w:pPr>
              <w:cnfStyle w:val="000000000000"/>
            </w:pP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  <w:r>
              <w:t>1 Day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</w:p>
        </w:tc>
      </w:tr>
      <w:tr w:rsidR="00B842B1" w:rsidTr="008B67AD">
        <w:trPr>
          <w:cnfStyle w:val="000000100000"/>
        </w:trPr>
        <w:tc>
          <w:tcPr>
            <w:cnfStyle w:val="001000000000"/>
            <w:tcW w:w="0" w:type="auto"/>
          </w:tcPr>
          <w:p w:rsidR="00B842B1" w:rsidRPr="008F369D" w:rsidRDefault="00B842B1" w:rsidP="00B842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B842B1" w:rsidRPr="00CE6B4D" w:rsidRDefault="00B842B1" w:rsidP="00B842B1">
            <w:pPr>
              <w:cnfStyle w:val="000000100000"/>
            </w:pPr>
            <w:r>
              <w:t>AR MI&amp;P, SARO</w:t>
            </w:r>
          </w:p>
        </w:tc>
        <w:tc>
          <w:tcPr>
            <w:tcW w:w="0" w:type="auto"/>
          </w:tcPr>
          <w:p w:rsidR="00B842B1" w:rsidRPr="00CE6B4D" w:rsidRDefault="00B842B1" w:rsidP="00B842B1">
            <w:pPr>
              <w:cnfStyle w:val="000000100000"/>
            </w:pPr>
            <w:r w:rsidRPr="00CE6B4D">
              <w:t>ELQ Reporting</w:t>
            </w:r>
          </w:p>
          <w:p w:rsidR="00B842B1" w:rsidRPr="0054551C" w:rsidRDefault="00B842B1" w:rsidP="00B842B1">
            <w:pPr>
              <w:cnfStyle w:val="000000100000"/>
            </w:pPr>
          </w:p>
        </w:tc>
        <w:tc>
          <w:tcPr>
            <w:tcW w:w="0" w:type="auto"/>
          </w:tcPr>
          <w:p w:rsidR="008B67AD" w:rsidRDefault="005B4D78" w:rsidP="00B842B1">
            <w:pPr>
              <w:cnfStyle w:val="000000100000"/>
            </w:pPr>
            <w:r>
              <w:t xml:space="preserve">This work is part of AR Project AR0025 which has been considered by the ARAO project directorate and has been scheduled for </w:t>
            </w:r>
            <w:r w:rsidR="008B67AD">
              <w:t>Q1 09/10.</w:t>
            </w:r>
          </w:p>
          <w:p w:rsidR="000574EA" w:rsidRDefault="00B842B1" w:rsidP="005B4D78">
            <w:pPr>
              <w:cnfStyle w:val="000000100000"/>
            </w:pPr>
            <w:r>
              <w:t>ELQ student are a new category of student who pay different tuition fees, currently they are not differentiated in the planning and subsequent load analysis</w:t>
            </w:r>
            <w:r w:rsidR="005B4D78">
              <w:t>.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100000"/>
            </w:pPr>
            <w:r>
              <w:t>MI Team</w:t>
            </w:r>
          </w:p>
          <w:p w:rsidR="00822F1C" w:rsidRDefault="00822F1C" w:rsidP="00B842B1">
            <w:pPr>
              <w:cnfStyle w:val="000000100000"/>
            </w:pPr>
            <w:r>
              <w:t>AR MI&amp; P</w:t>
            </w:r>
          </w:p>
          <w:p w:rsidR="00822F1C" w:rsidRDefault="00822F1C" w:rsidP="00B842B1">
            <w:pPr>
              <w:cnfStyle w:val="000000100000"/>
            </w:pPr>
            <w:r>
              <w:t>, SARO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100000"/>
            </w:pPr>
            <w:r>
              <w:t>7days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100000"/>
            </w:pPr>
          </w:p>
        </w:tc>
      </w:tr>
      <w:tr w:rsidR="001F3548" w:rsidTr="003953C7">
        <w:tc>
          <w:tcPr>
            <w:cnfStyle w:val="001000000000"/>
            <w:tcW w:w="0" w:type="auto"/>
          </w:tcPr>
          <w:p w:rsidR="001F3548" w:rsidRPr="008F369D" w:rsidRDefault="001F3548" w:rsidP="003953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3548" w:rsidRDefault="001F3548" w:rsidP="003953C7">
            <w:pPr>
              <w:cnfStyle w:val="000000000000"/>
            </w:pPr>
            <w:r>
              <w:t>HR</w:t>
            </w:r>
          </w:p>
        </w:tc>
        <w:tc>
          <w:tcPr>
            <w:tcW w:w="0" w:type="auto"/>
          </w:tcPr>
          <w:p w:rsidR="001F3548" w:rsidRDefault="001F3548" w:rsidP="003953C7">
            <w:pPr>
              <w:cnfStyle w:val="000000000000"/>
            </w:pPr>
            <w:r>
              <w:t xml:space="preserve">HR reporting </w:t>
            </w:r>
          </w:p>
        </w:tc>
        <w:tc>
          <w:tcPr>
            <w:tcW w:w="0" w:type="auto"/>
          </w:tcPr>
          <w:p w:rsidR="001F3548" w:rsidRDefault="005B4D78" w:rsidP="00835895">
            <w:pPr>
              <w:cnfStyle w:val="000000000000"/>
            </w:pPr>
            <w:r>
              <w:t xml:space="preserve">This work would make HR information available </w:t>
            </w:r>
            <w:r w:rsidR="00301073">
              <w:t xml:space="preserve">to </w:t>
            </w:r>
            <w:r w:rsidR="00301073">
              <w:lastRenderedPageBreak/>
              <w:t xml:space="preserve">nominated users over the </w:t>
            </w:r>
            <w:r w:rsidR="00835895">
              <w:t>web</w:t>
            </w:r>
            <w:r w:rsidR="00301073">
              <w:t xml:space="preserve"> and would be  a collaboration between HR and IT Services. There is cross over between this work and Project 1.3.</w:t>
            </w:r>
          </w:p>
        </w:tc>
        <w:tc>
          <w:tcPr>
            <w:tcW w:w="0" w:type="auto"/>
          </w:tcPr>
          <w:p w:rsidR="001F3548" w:rsidRDefault="001F3548" w:rsidP="003953C7">
            <w:pPr>
              <w:cnfStyle w:val="000000000000"/>
            </w:pPr>
            <w:r>
              <w:lastRenderedPageBreak/>
              <w:t>ITS MI Team</w:t>
            </w:r>
          </w:p>
          <w:p w:rsidR="001F3548" w:rsidRDefault="001F3548" w:rsidP="003953C7">
            <w:pPr>
              <w:cnfStyle w:val="000000000000"/>
            </w:pPr>
            <w:r>
              <w:lastRenderedPageBreak/>
              <w:t>HR Project team</w:t>
            </w:r>
          </w:p>
        </w:tc>
        <w:tc>
          <w:tcPr>
            <w:tcW w:w="0" w:type="auto"/>
          </w:tcPr>
          <w:p w:rsidR="001F3548" w:rsidRDefault="006A5782" w:rsidP="003953C7">
            <w:pPr>
              <w:cnfStyle w:val="000000000000"/>
            </w:pPr>
            <w:r>
              <w:lastRenderedPageBreak/>
              <w:t>Substantial</w:t>
            </w:r>
          </w:p>
        </w:tc>
        <w:tc>
          <w:tcPr>
            <w:tcW w:w="0" w:type="auto"/>
          </w:tcPr>
          <w:p w:rsidR="001F3548" w:rsidRDefault="001F3548" w:rsidP="003953C7">
            <w:pPr>
              <w:cnfStyle w:val="000000000000"/>
            </w:pPr>
          </w:p>
        </w:tc>
      </w:tr>
      <w:tr w:rsidR="006035A9" w:rsidTr="008B67AD">
        <w:trPr>
          <w:cnfStyle w:val="000000100000"/>
        </w:trPr>
        <w:tc>
          <w:tcPr>
            <w:cnfStyle w:val="001000000000"/>
            <w:tcW w:w="0" w:type="auto"/>
          </w:tcPr>
          <w:p w:rsidR="006035A9" w:rsidRPr="008F369D" w:rsidRDefault="006035A9" w:rsidP="008F36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6035A9" w:rsidRDefault="00BC4870" w:rsidP="00CF7716">
            <w:pPr>
              <w:cnfStyle w:val="000000100000"/>
            </w:pPr>
            <w:r>
              <w:t>University</w:t>
            </w:r>
          </w:p>
          <w:p w:rsidR="00CF7716" w:rsidRDefault="00CF7716" w:rsidP="00CF7716">
            <w:pPr>
              <w:cnfStyle w:val="000000100000"/>
            </w:pPr>
            <w:r>
              <w:t>AR MI&amp;P</w:t>
            </w:r>
          </w:p>
        </w:tc>
        <w:tc>
          <w:tcPr>
            <w:tcW w:w="0" w:type="auto"/>
          </w:tcPr>
          <w:p w:rsidR="006035A9" w:rsidRDefault="006035A9">
            <w:pPr>
              <w:cnfStyle w:val="000000100000"/>
            </w:pPr>
            <w:r>
              <w:t>Project 1.3 Phase 2</w:t>
            </w:r>
          </w:p>
        </w:tc>
        <w:tc>
          <w:tcPr>
            <w:tcW w:w="0" w:type="auto"/>
          </w:tcPr>
          <w:p w:rsidR="00835895" w:rsidRDefault="00835895" w:rsidP="00B842B1">
            <w:pPr>
              <w:cnfStyle w:val="000000100000"/>
            </w:pPr>
            <w:r>
              <w:t>Project 1.3 was initiated from the University’s strategy and development by the MI team has been on-going for some time</w:t>
            </w:r>
          </w:p>
          <w:p w:rsidR="006035A9" w:rsidRDefault="00835895" w:rsidP="00835895">
            <w:pPr>
              <w:cnfStyle w:val="000000100000"/>
            </w:pPr>
            <w:r>
              <w:t>Phase 2 would broaden t</w:t>
            </w:r>
            <w:r w:rsidR="006035A9">
              <w:t>he data included within the dashboard</w:t>
            </w:r>
            <w:r>
              <w:t>s</w:t>
            </w:r>
            <w:r w:rsidR="006035A9">
              <w:t xml:space="preserve"> to </w:t>
            </w:r>
            <w:r>
              <w:t>encompass</w:t>
            </w:r>
            <w:r w:rsidR="006035A9">
              <w:t xml:space="preserve"> PGR</w:t>
            </w:r>
            <w:r w:rsidR="00B842B1">
              <w:t>,HR, Bibliometric &amp;</w:t>
            </w:r>
            <w:r w:rsidR="006035A9">
              <w:t xml:space="preserve"> Research income information</w:t>
            </w:r>
          </w:p>
        </w:tc>
        <w:tc>
          <w:tcPr>
            <w:tcW w:w="0" w:type="auto"/>
          </w:tcPr>
          <w:p w:rsidR="006035A9" w:rsidRDefault="006035A9">
            <w:pPr>
              <w:cnfStyle w:val="000000100000"/>
            </w:pPr>
            <w:r>
              <w:t>MI Team</w:t>
            </w:r>
          </w:p>
          <w:p w:rsidR="006035A9" w:rsidRDefault="001F3548" w:rsidP="001F3548">
            <w:pPr>
              <w:cnfStyle w:val="000000100000"/>
            </w:pPr>
            <w:r>
              <w:t xml:space="preserve">AR </w:t>
            </w:r>
            <w:r w:rsidR="006035A9">
              <w:t xml:space="preserve">MI &amp; P </w:t>
            </w:r>
            <w:r>
              <w:t>HR</w:t>
            </w:r>
            <w:r w:rsidR="00867619">
              <w:t xml:space="preserve"> Project team</w:t>
            </w:r>
          </w:p>
        </w:tc>
        <w:tc>
          <w:tcPr>
            <w:tcW w:w="0" w:type="auto"/>
          </w:tcPr>
          <w:p w:rsidR="006035A9" w:rsidRDefault="006A5782">
            <w:pPr>
              <w:cnfStyle w:val="000000100000"/>
            </w:pPr>
            <w:r>
              <w:t>Substantial</w:t>
            </w:r>
          </w:p>
        </w:tc>
        <w:tc>
          <w:tcPr>
            <w:tcW w:w="0" w:type="auto"/>
          </w:tcPr>
          <w:p w:rsidR="006035A9" w:rsidRDefault="006035A9">
            <w:pPr>
              <w:cnfStyle w:val="000000100000"/>
            </w:pPr>
          </w:p>
        </w:tc>
      </w:tr>
      <w:tr w:rsidR="00B842B1" w:rsidTr="008B67AD">
        <w:tc>
          <w:tcPr>
            <w:cnfStyle w:val="001000000000"/>
            <w:tcW w:w="0" w:type="auto"/>
          </w:tcPr>
          <w:p w:rsidR="00B842B1" w:rsidRPr="008F369D" w:rsidRDefault="00B842B1" w:rsidP="00B842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  <w:r>
              <w:t xml:space="preserve">AR MI&amp;P </w:t>
            </w:r>
          </w:p>
          <w:p w:rsidR="00B842B1" w:rsidRDefault="00B842B1" w:rsidP="00B842B1">
            <w:pPr>
              <w:cnfStyle w:val="000000000000"/>
            </w:pP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  <w:r>
              <w:t xml:space="preserve">Student five year head plan and load 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  <w:r>
              <w:t>The MI&amp;P section within the academic registrar’s office are conducting a review of the student five year plan</w:t>
            </w:r>
            <w:r w:rsidR="00835895">
              <w:t xml:space="preserve">. The </w:t>
            </w:r>
            <w:r w:rsidR="00CF7716">
              <w:t xml:space="preserve">existing </w:t>
            </w:r>
            <w:r w:rsidR="00835895">
              <w:t>tools developed by the MI team may be affected as a result of this review.</w:t>
            </w:r>
          </w:p>
          <w:p w:rsidR="00B842B1" w:rsidRDefault="00B842B1" w:rsidP="00822F1C">
            <w:pPr>
              <w:cnfStyle w:val="000000000000"/>
            </w:pPr>
            <w:r>
              <w:t xml:space="preserve">It is </w:t>
            </w:r>
            <w:r w:rsidR="00822F1C">
              <w:t xml:space="preserve">anticipated </w:t>
            </w:r>
            <w:r>
              <w:t xml:space="preserve"> that one of the </w:t>
            </w:r>
            <w:r w:rsidR="00822F1C">
              <w:t>deliverables</w:t>
            </w:r>
            <w:r>
              <w:t xml:space="preserve"> from this project will be the provision of on-line load analysis tools to departments, replacing the current ad-hoc investigations undertaken by IT services.</w:t>
            </w:r>
            <w:r w:rsidR="000F4D8E">
              <w:t xml:space="preserve"> 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  <w:r>
              <w:t>AR MI&amp;P Group</w:t>
            </w:r>
          </w:p>
          <w:p w:rsidR="00B842B1" w:rsidRDefault="00B842B1" w:rsidP="00B842B1">
            <w:pPr>
              <w:cnfStyle w:val="000000000000"/>
            </w:pPr>
            <w:r>
              <w:t>ITS MI Team</w:t>
            </w:r>
          </w:p>
        </w:tc>
        <w:tc>
          <w:tcPr>
            <w:tcW w:w="0" w:type="auto"/>
          </w:tcPr>
          <w:p w:rsidR="00B842B1" w:rsidRDefault="006A5782" w:rsidP="00B842B1">
            <w:pPr>
              <w:cnfStyle w:val="000000000000"/>
            </w:pPr>
            <w:r>
              <w:t>Substantial</w:t>
            </w:r>
          </w:p>
          <w:p w:rsidR="00822F1C" w:rsidRDefault="00822F1C" w:rsidP="00B842B1">
            <w:pPr>
              <w:cnfStyle w:val="000000000000"/>
            </w:pPr>
            <w:r>
              <w:t>provisional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000000"/>
            </w:pPr>
          </w:p>
        </w:tc>
      </w:tr>
      <w:tr w:rsidR="00B842B1" w:rsidTr="008B67AD">
        <w:trPr>
          <w:cnfStyle w:val="000000100000"/>
        </w:trPr>
        <w:tc>
          <w:tcPr>
            <w:cnfStyle w:val="001000000000"/>
            <w:tcW w:w="0" w:type="auto"/>
          </w:tcPr>
          <w:p w:rsidR="00B842B1" w:rsidRPr="008F369D" w:rsidRDefault="00B842B1" w:rsidP="00B842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B842B1" w:rsidRPr="0054551C" w:rsidRDefault="00B842B1" w:rsidP="00B842B1">
            <w:pPr>
              <w:cnfStyle w:val="000000100000"/>
            </w:pPr>
            <w:r>
              <w:t>AR MI&amp;P</w:t>
            </w:r>
          </w:p>
        </w:tc>
        <w:tc>
          <w:tcPr>
            <w:tcW w:w="0" w:type="auto"/>
          </w:tcPr>
          <w:p w:rsidR="00B842B1" w:rsidRPr="0054551C" w:rsidRDefault="00B842B1" w:rsidP="00B842B1">
            <w:pPr>
              <w:cnfStyle w:val="000000100000"/>
            </w:pPr>
            <w:r w:rsidRPr="0054551C">
              <w:t>HEFCE Contract Modelling</w:t>
            </w:r>
          </w:p>
          <w:p w:rsidR="00B842B1" w:rsidRDefault="00B842B1" w:rsidP="00B842B1">
            <w:pPr>
              <w:cnfStyle w:val="000000100000"/>
            </w:pPr>
          </w:p>
        </w:tc>
        <w:tc>
          <w:tcPr>
            <w:tcW w:w="0" w:type="auto"/>
          </w:tcPr>
          <w:p w:rsidR="00B842B1" w:rsidRDefault="00681FAD" w:rsidP="00681FAD">
            <w:pPr>
              <w:cnfStyle w:val="000000100000"/>
            </w:pPr>
            <w:r>
              <w:t>Project number AR0006 c</w:t>
            </w:r>
            <w:r w:rsidR="00B842B1">
              <w:t xml:space="preserve">urrently being considered by the ARAO project </w:t>
            </w:r>
            <w:r>
              <w:t xml:space="preserve"> </w:t>
            </w:r>
            <w:r w:rsidR="00B842B1">
              <w:t>directorate has not been scheduled.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100000"/>
            </w:pPr>
            <w:r>
              <w:t>ITS MI Team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100000"/>
            </w:pPr>
            <w:r>
              <w:t>Not quantified</w:t>
            </w:r>
          </w:p>
        </w:tc>
        <w:tc>
          <w:tcPr>
            <w:tcW w:w="0" w:type="auto"/>
          </w:tcPr>
          <w:p w:rsidR="00B842B1" w:rsidRDefault="00B842B1" w:rsidP="00B842B1">
            <w:pPr>
              <w:cnfStyle w:val="000000100000"/>
            </w:pPr>
          </w:p>
        </w:tc>
      </w:tr>
      <w:tr w:rsidR="006035A9" w:rsidTr="008B67AD">
        <w:tc>
          <w:tcPr>
            <w:cnfStyle w:val="001000000000"/>
            <w:tcW w:w="0" w:type="auto"/>
          </w:tcPr>
          <w:p w:rsidR="006035A9" w:rsidRPr="008F369D" w:rsidRDefault="006035A9" w:rsidP="008F36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6035A9" w:rsidRDefault="00BC4870" w:rsidP="00716C7A">
            <w:pPr>
              <w:cnfStyle w:val="000000000000"/>
            </w:pPr>
            <w:r>
              <w:t>AR SARO</w:t>
            </w:r>
          </w:p>
        </w:tc>
        <w:tc>
          <w:tcPr>
            <w:tcW w:w="0" w:type="auto"/>
          </w:tcPr>
          <w:p w:rsidR="006035A9" w:rsidRDefault="006035A9" w:rsidP="00716C7A">
            <w:pPr>
              <w:cnfStyle w:val="000000000000"/>
            </w:pPr>
            <w:r>
              <w:t>PG Admissions Management Information reports</w:t>
            </w:r>
          </w:p>
        </w:tc>
        <w:tc>
          <w:tcPr>
            <w:tcW w:w="0" w:type="auto"/>
          </w:tcPr>
          <w:p w:rsidR="006035A9" w:rsidRDefault="006035A9" w:rsidP="007854BF">
            <w:pPr>
              <w:cnfStyle w:val="000000000000"/>
            </w:pPr>
            <w:r>
              <w:t>The testing of the PG MI reports is on</w:t>
            </w:r>
            <w:r w:rsidR="00B842B1">
              <w:t>-</w:t>
            </w:r>
            <w:r>
              <w:t>going, some rework is likely to be require. On completion of this work the phase I of the admissions reporting will be complete.</w:t>
            </w:r>
          </w:p>
        </w:tc>
        <w:tc>
          <w:tcPr>
            <w:tcW w:w="0" w:type="auto"/>
          </w:tcPr>
          <w:p w:rsidR="006035A9" w:rsidRDefault="006035A9">
            <w:pPr>
              <w:cnfStyle w:val="000000000000"/>
            </w:pPr>
            <w:r>
              <w:t>ITS MI team</w:t>
            </w:r>
          </w:p>
        </w:tc>
        <w:tc>
          <w:tcPr>
            <w:tcW w:w="0" w:type="auto"/>
          </w:tcPr>
          <w:p w:rsidR="006035A9" w:rsidRDefault="006035A9">
            <w:pPr>
              <w:cnfStyle w:val="000000000000"/>
            </w:pPr>
            <w:r>
              <w:t>Not quantified</w:t>
            </w:r>
          </w:p>
        </w:tc>
        <w:tc>
          <w:tcPr>
            <w:tcW w:w="0" w:type="auto"/>
          </w:tcPr>
          <w:p w:rsidR="006035A9" w:rsidRDefault="006035A9">
            <w:pPr>
              <w:cnfStyle w:val="000000000000"/>
            </w:pPr>
          </w:p>
        </w:tc>
      </w:tr>
      <w:tr w:rsidR="006035A9" w:rsidTr="008B67AD">
        <w:trPr>
          <w:cnfStyle w:val="000000100000"/>
        </w:trPr>
        <w:tc>
          <w:tcPr>
            <w:cnfStyle w:val="001000000000"/>
            <w:tcW w:w="0" w:type="auto"/>
          </w:tcPr>
          <w:p w:rsidR="006035A9" w:rsidRPr="008F369D" w:rsidRDefault="006035A9" w:rsidP="008F36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6035A9" w:rsidRDefault="00BC4870">
            <w:pPr>
              <w:cnfStyle w:val="000000100000"/>
            </w:pPr>
            <w:r>
              <w:t>AR MI&amp;P, SARO</w:t>
            </w:r>
          </w:p>
        </w:tc>
        <w:tc>
          <w:tcPr>
            <w:tcW w:w="0" w:type="auto"/>
          </w:tcPr>
          <w:p w:rsidR="006035A9" w:rsidRDefault="006035A9">
            <w:pPr>
              <w:cnfStyle w:val="000000100000"/>
            </w:pPr>
            <w:r>
              <w:t>Integration of planning and application data sets.</w:t>
            </w:r>
          </w:p>
        </w:tc>
        <w:tc>
          <w:tcPr>
            <w:tcW w:w="0" w:type="auto"/>
          </w:tcPr>
          <w:p w:rsidR="006035A9" w:rsidRDefault="006035A9" w:rsidP="00C05121">
            <w:pPr>
              <w:cnfStyle w:val="000000100000"/>
            </w:pPr>
            <w:r>
              <w:t>Currently the student five year head plan and applications data are not presented in a single report. This work would integrate the two sets of data presenting the targets with actual recruitment   activity.</w:t>
            </w:r>
          </w:p>
        </w:tc>
        <w:tc>
          <w:tcPr>
            <w:tcW w:w="0" w:type="auto"/>
          </w:tcPr>
          <w:p w:rsidR="006035A9" w:rsidRDefault="006035A9" w:rsidP="00B974AB">
            <w:pPr>
              <w:cnfStyle w:val="000000100000"/>
            </w:pPr>
            <w:r>
              <w:t>ITS MI Team</w:t>
            </w:r>
          </w:p>
          <w:p w:rsidR="006035A9" w:rsidRDefault="006035A9" w:rsidP="00B974AB">
            <w:pPr>
              <w:cnfStyle w:val="000000100000"/>
            </w:pPr>
            <w:r>
              <w:t xml:space="preserve">AR </w:t>
            </w:r>
            <w:r w:rsidR="00BC4870">
              <w:t>SARO</w:t>
            </w:r>
            <w:r>
              <w:t xml:space="preserve"> Team</w:t>
            </w:r>
          </w:p>
        </w:tc>
        <w:tc>
          <w:tcPr>
            <w:tcW w:w="0" w:type="auto"/>
          </w:tcPr>
          <w:p w:rsidR="006035A9" w:rsidRDefault="006A5782">
            <w:pPr>
              <w:cnfStyle w:val="000000100000"/>
            </w:pPr>
            <w:r>
              <w:t>Substantial</w:t>
            </w:r>
          </w:p>
        </w:tc>
        <w:tc>
          <w:tcPr>
            <w:tcW w:w="0" w:type="auto"/>
          </w:tcPr>
          <w:p w:rsidR="006035A9" w:rsidRDefault="006035A9">
            <w:pPr>
              <w:cnfStyle w:val="000000100000"/>
            </w:pPr>
          </w:p>
        </w:tc>
      </w:tr>
      <w:tr w:rsidR="006035A9" w:rsidTr="008B67AD">
        <w:tc>
          <w:tcPr>
            <w:cnfStyle w:val="001000000000"/>
            <w:tcW w:w="0" w:type="auto"/>
          </w:tcPr>
          <w:p w:rsidR="006035A9" w:rsidRPr="008F369D" w:rsidRDefault="006035A9" w:rsidP="008F36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6035A9" w:rsidRDefault="00BC4870">
            <w:pPr>
              <w:cnfStyle w:val="000000000000"/>
            </w:pPr>
            <w:r>
              <w:t>AR IO</w:t>
            </w:r>
          </w:p>
        </w:tc>
        <w:tc>
          <w:tcPr>
            <w:tcW w:w="0" w:type="auto"/>
          </w:tcPr>
          <w:p w:rsidR="006035A9" w:rsidRDefault="006035A9">
            <w:pPr>
              <w:cnfStyle w:val="000000000000"/>
            </w:pPr>
            <w:r>
              <w:t>International office reporting</w:t>
            </w:r>
          </w:p>
        </w:tc>
        <w:tc>
          <w:tcPr>
            <w:tcW w:w="0" w:type="auto"/>
          </w:tcPr>
          <w:p w:rsidR="006035A9" w:rsidRDefault="006035A9" w:rsidP="00BC4870">
            <w:pPr>
              <w:cnfStyle w:val="000000000000"/>
            </w:pPr>
            <w:r>
              <w:t xml:space="preserve">The international office </w:t>
            </w:r>
            <w:r w:rsidR="00BC4870">
              <w:t>are requesting an extension to the admissions reputing used by SARO, adding a student’s country of domicile to the reports.</w:t>
            </w:r>
          </w:p>
        </w:tc>
        <w:tc>
          <w:tcPr>
            <w:tcW w:w="0" w:type="auto"/>
          </w:tcPr>
          <w:p w:rsidR="006035A9" w:rsidRDefault="006035A9">
            <w:pPr>
              <w:cnfStyle w:val="000000000000"/>
            </w:pPr>
            <w:r>
              <w:t>ITS MI Team</w:t>
            </w:r>
          </w:p>
          <w:p w:rsidR="006035A9" w:rsidRDefault="006035A9">
            <w:pPr>
              <w:cnfStyle w:val="000000000000"/>
            </w:pPr>
            <w:r>
              <w:t>AR IO</w:t>
            </w:r>
          </w:p>
        </w:tc>
        <w:tc>
          <w:tcPr>
            <w:tcW w:w="0" w:type="auto"/>
          </w:tcPr>
          <w:p w:rsidR="006035A9" w:rsidRDefault="0036209D">
            <w:pPr>
              <w:cnfStyle w:val="000000000000"/>
            </w:pPr>
            <w:r>
              <w:t>Not quantified</w:t>
            </w:r>
          </w:p>
        </w:tc>
        <w:tc>
          <w:tcPr>
            <w:tcW w:w="0" w:type="auto"/>
          </w:tcPr>
          <w:p w:rsidR="006035A9" w:rsidRDefault="006035A9">
            <w:pPr>
              <w:cnfStyle w:val="000000000000"/>
            </w:pPr>
          </w:p>
        </w:tc>
      </w:tr>
      <w:tr w:rsidR="006035A9" w:rsidTr="008B67AD">
        <w:trPr>
          <w:cnfStyle w:val="000000100000"/>
        </w:trPr>
        <w:tc>
          <w:tcPr>
            <w:cnfStyle w:val="001000000000"/>
            <w:tcW w:w="0" w:type="auto"/>
          </w:tcPr>
          <w:p w:rsidR="006035A9" w:rsidRPr="008F369D" w:rsidRDefault="006035A9" w:rsidP="008F36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6035A9" w:rsidRDefault="0036209D">
            <w:pPr>
              <w:cnfStyle w:val="000000100000"/>
            </w:pPr>
            <w:r>
              <w:t>SARO</w:t>
            </w:r>
          </w:p>
        </w:tc>
        <w:tc>
          <w:tcPr>
            <w:tcW w:w="0" w:type="auto"/>
          </w:tcPr>
          <w:p w:rsidR="006035A9" w:rsidRDefault="00BC4870">
            <w:pPr>
              <w:cnfStyle w:val="000000100000"/>
            </w:pPr>
            <w:r>
              <w:t>SARO</w:t>
            </w:r>
            <w:r w:rsidR="006035A9">
              <w:t xml:space="preserve"> Enhancements</w:t>
            </w:r>
          </w:p>
        </w:tc>
        <w:tc>
          <w:tcPr>
            <w:tcW w:w="0" w:type="auto"/>
          </w:tcPr>
          <w:p w:rsidR="006035A9" w:rsidRDefault="006035A9" w:rsidP="0036209D">
            <w:pPr>
              <w:cnfStyle w:val="000000100000"/>
            </w:pPr>
            <w:r>
              <w:t xml:space="preserve"> </w:t>
            </w:r>
            <w:r w:rsidR="0036209D">
              <w:t>SARO have developed a list of prioritised enhancements to the existing PG &amp; UG reports.</w:t>
            </w:r>
          </w:p>
        </w:tc>
        <w:tc>
          <w:tcPr>
            <w:tcW w:w="0" w:type="auto"/>
          </w:tcPr>
          <w:p w:rsidR="006035A9" w:rsidRDefault="0036209D">
            <w:pPr>
              <w:cnfStyle w:val="000000100000"/>
            </w:pPr>
            <w:r>
              <w:t>ITS MI Team</w:t>
            </w:r>
          </w:p>
          <w:p w:rsidR="0036209D" w:rsidRDefault="0036209D">
            <w:pPr>
              <w:cnfStyle w:val="000000100000"/>
            </w:pPr>
            <w:r>
              <w:t>AR SARO</w:t>
            </w:r>
          </w:p>
        </w:tc>
        <w:tc>
          <w:tcPr>
            <w:tcW w:w="0" w:type="auto"/>
          </w:tcPr>
          <w:p w:rsidR="006035A9" w:rsidRDefault="0036209D">
            <w:pPr>
              <w:cnfStyle w:val="000000100000"/>
            </w:pPr>
            <w:r>
              <w:t>Not quantified</w:t>
            </w:r>
          </w:p>
        </w:tc>
        <w:tc>
          <w:tcPr>
            <w:tcW w:w="0" w:type="auto"/>
          </w:tcPr>
          <w:p w:rsidR="006035A9" w:rsidRDefault="006035A9">
            <w:pPr>
              <w:cnfStyle w:val="000000100000"/>
            </w:pPr>
          </w:p>
        </w:tc>
      </w:tr>
    </w:tbl>
    <w:p w:rsidR="007B3D31" w:rsidRDefault="007B3D31"/>
    <w:p w:rsidR="00C55CA6" w:rsidRDefault="00C55CA6">
      <w:pPr>
        <w:rPr>
          <w:b/>
        </w:rPr>
      </w:pPr>
      <w:r w:rsidRPr="00C55CA6">
        <w:rPr>
          <w:b/>
        </w:rPr>
        <w:t>Increasing resource</w:t>
      </w:r>
    </w:p>
    <w:p w:rsidR="00C55CA6" w:rsidRDefault="00C55CA6">
      <w:r w:rsidRPr="00490A6B">
        <w:t>The option is available to purchase external resource to progress projects, indicative rates are £400 per day for independent contractors and £ 1,000 for consultants</w:t>
      </w:r>
      <w:r w:rsidR="00490A6B">
        <w:t>, all prices ex-vat</w:t>
      </w:r>
      <w:r w:rsidRPr="00490A6B">
        <w:t xml:space="preserve">.  There </w:t>
      </w:r>
      <w:r w:rsidR="00490A6B">
        <w:t xml:space="preserve">are </w:t>
      </w:r>
      <w:r w:rsidRPr="00490A6B">
        <w:t>risk</w:t>
      </w:r>
      <w:r w:rsidR="00490A6B">
        <w:t>s</w:t>
      </w:r>
      <w:r w:rsidRPr="00490A6B">
        <w:t xml:space="preserve"> associated with the use of external resources, particularly </w:t>
      </w:r>
      <w:r w:rsidR="00490A6B" w:rsidRPr="00490A6B">
        <w:t xml:space="preserve">maintenance of the work </w:t>
      </w:r>
      <w:r w:rsidR="00490A6B">
        <w:t>completed, l</w:t>
      </w:r>
      <w:r w:rsidR="00490A6B" w:rsidRPr="00490A6B">
        <w:t>oss of knowledge</w:t>
      </w:r>
      <w:r w:rsidR="00490A6B">
        <w:t xml:space="preserve"> and the need for Warwick staff to oversee </w:t>
      </w:r>
      <w:r w:rsidR="00822F1C">
        <w:t>any work.</w:t>
      </w:r>
      <w:r w:rsidR="00CF7716">
        <w:t xml:space="preserve"> </w:t>
      </w:r>
    </w:p>
    <w:p w:rsidR="00681FAD" w:rsidRPr="00490A6B" w:rsidRDefault="00681FAD">
      <w:r>
        <w:t>The use of external resources will require some support from Warwick staff to ensure work delivered can be maintained by Warwick staff and integrates with the work completed to date.</w:t>
      </w:r>
    </w:p>
    <w:sectPr w:rsidR="00681FAD" w:rsidRPr="00490A6B" w:rsidSect="0060389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88" w:rsidRDefault="00AD7C88" w:rsidP="000353EE">
      <w:pPr>
        <w:spacing w:after="0" w:line="240" w:lineRule="auto"/>
      </w:pPr>
      <w:r>
        <w:separator/>
      </w:r>
    </w:p>
  </w:endnote>
  <w:endnote w:type="continuationSeparator" w:id="0">
    <w:p w:rsidR="00AD7C88" w:rsidRDefault="00AD7C88" w:rsidP="0003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88" w:rsidRDefault="00AD7C88" w:rsidP="000353EE">
      <w:pPr>
        <w:spacing w:after="0" w:line="240" w:lineRule="auto"/>
      </w:pPr>
      <w:r>
        <w:separator/>
      </w:r>
    </w:p>
  </w:footnote>
  <w:footnote w:type="continuationSeparator" w:id="0">
    <w:p w:rsidR="00AD7C88" w:rsidRDefault="00AD7C88" w:rsidP="0003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E" w:rsidRPr="000353EE" w:rsidRDefault="000F4D8E" w:rsidP="000353EE">
    <w:pPr>
      <w:pStyle w:val="Header"/>
      <w:ind w:firstLine="2880"/>
      <w:rPr>
        <w:b/>
      </w:rPr>
    </w:pPr>
    <w:r w:rsidRPr="000353EE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-135255</wp:posOffset>
          </wp:positionV>
          <wp:extent cx="1514475" cy="523875"/>
          <wp:effectExtent l="19050" t="0" r="9525" b="0"/>
          <wp:wrapNone/>
          <wp:docPr id="15" name="Picture 15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rwi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3EE">
      <w:rPr>
        <w:b/>
      </w:rPr>
      <w:t>Management Information Service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02A"/>
    <w:multiLevelType w:val="hybridMultilevel"/>
    <w:tmpl w:val="1CC6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35F3D"/>
    <w:multiLevelType w:val="hybridMultilevel"/>
    <w:tmpl w:val="EDD8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E8D"/>
    <w:rsid w:val="00003DA6"/>
    <w:rsid w:val="00005781"/>
    <w:rsid w:val="000353EE"/>
    <w:rsid w:val="000574EA"/>
    <w:rsid w:val="00074700"/>
    <w:rsid w:val="00075698"/>
    <w:rsid w:val="000F4D8E"/>
    <w:rsid w:val="0016256A"/>
    <w:rsid w:val="00180A13"/>
    <w:rsid w:val="00194114"/>
    <w:rsid w:val="001C7EAE"/>
    <w:rsid w:val="001E00D7"/>
    <w:rsid w:val="001F3548"/>
    <w:rsid w:val="0022380E"/>
    <w:rsid w:val="00247298"/>
    <w:rsid w:val="0025464E"/>
    <w:rsid w:val="002B14C0"/>
    <w:rsid w:val="002C08C1"/>
    <w:rsid w:val="002D503F"/>
    <w:rsid w:val="00301073"/>
    <w:rsid w:val="00343E47"/>
    <w:rsid w:val="0036209D"/>
    <w:rsid w:val="00384AA1"/>
    <w:rsid w:val="0039002F"/>
    <w:rsid w:val="003953C7"/>
    <w:rsid w:val="003A7E8D"/>
    <w:rsid w:val="003B3F17"/>
    <w:rsid w:val="003C6A37"/>
    <w:rsid w:val="003D6AB8"/>
    <w:rsid w:val="00454740"/>
    <w:rsid w:val="004564DD"/>
    <w:rsid w:val="00490A6B"/>
    <w:rsid w:val="00507983"/>
    <w:rsid w:val="005208B3"/>
    <w:rsid w:val="0052304E"/>
    <w:rsid w:val="0054551C"/>
    <w:rsid w:val="00555143"/>
    <w:rsid w:val="00566566"/>
    <w:rsid w:val="0058464C"/>
    <w:rsid w:val="005A48AF"/>
    <w:rsid w:val="005A53C9"/>
    <w:rsid w:val="005A7913"/>
    <w:rsid w:val="005B4D78"/>
    <w:rsid w:val="005C6623"/>
    <w:rsid w:val="005E2739"/>
    <w:rsid w:val="006035A9"/>
    <w:rsid w:val="0060389E"/>
    <w:rsid w:val="0065773E"/>
    <w:rsid w:val="00664D43"/>
    <w:rsid w:val="00666FDB"/>
    <w:rsid w:val="0067482A"/>
    <w:rsid w:val="00681FAD"/>
    <w:rsid w:val="00695786"/>
    <w:rsid w:val="006A5782"/>
    <w:rsid w:val="006B1B80"/>
    <w:rsid w:val="006E42E8"/>
    <w:rsid w:val="006E5E3A"/>
    <w:rsid w:val="00705919"/>
    <w:rsid w:val="00716C7A"/>
    <w:rsid w:val="00721E83"/>
    <w:rsid w:val="00763900"/>
    <w:rsid w:val="00781270"/>
    <w:rsid w:val="007854BF"/>
    <w:rsid w:val="00790184"/>
    <w:rsid w:val="007B3D31"/>
    <w:rsid w:val="00822F1C"/>
    <w:rsid w:val="00826883"/>
    <w:rsid w:val="00835895"/>
    <w:rsid w:val="00851709"/>
    <w:rsid w:val="00867619"/>
    <w:rsid w:val="0087514E"/>
    <w:rsid w:val="008B67AD"/>
    <w:rsid w:val="008D66C8"/>
    <w:rsid w:val="008F369D"/>
    <w:rsid w:val="00943D04"/>
    <w:rsid w:val="009D26B3"/>
    <w:rsid w:val="009E17C2"/>
    <w:rsid w:val="009E6A71"/>
    <w:rsid w:val="00A463B4"/>
    <w:rsid w:val="00A7234C"/>
    <w:rsid w:val="00AD3107"/>
    <w:rsid w:val="00AD7C88"/>
    <w:rsid w:val="00B03559"/>
    <w:rsid w:val="00B03E6D"/>
    <w:rsid w:val="00B27821"/>
    <w:rsid w:val="00B842B1"/>
    <w:rsid w:val="00B933D9"/>
    <w:rsid w:val="00B974AB"/>
    <w:rsid w:val="00BC4870"/>
    <w:rsid w:val="00BE282D"/>
    <w:rsid w:val="00C05121"/>
    <w:rsid w:val="00C14EA4"/>
    <w:rsid w:val="00C16884"/>
    <w:rsid w:val="00C21417"/>
    <w:rsid w:val="00C55CA6"/>
    <w:rsid w:val="00C82A60"/>
    <w:rsid w:val="00CD722A"/>
    <w:rsid w:val="00CE6B4D"/>
    <w:rsid w:val="00CF7716"/>
    <w:rsid w:val="00D01E63"/>
    <w:rsid w:val="00D06198"/>
    <w:rsid w:val="00D10A8F"/>
    <w:rsid w:val="00D1637C"/>
    <w:rsid w:val="00DA7906"/>
    <w:rsid w:val="00DE180B"/>
    <w:rsid w:val="00E378B6"/>
    <w:rsid w:val="00E457D7"/>
    <w:rsid w:val="00E72836"/>
    <w:rsid w:val="00E72A75"/>
    <w:rsid w:val="00E8358B"/>
    <w:rsid w:val="00EE1518"/>
    <w:rsid w:val="00F1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EE"/>
  </w:style>
  <w:style w:type="paragraph" w:styleId="Footer">
    <w:name w:val="footer"/>
    <w:basedOn w:val="Normal"/>
    <w:link w:val="FooterChar"/>
    <w:uiPriority w:val="99"/>
    <w:semiHidden/>
    <w:unhideWhenUsed/>
    <w:rsid w:val="0003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3EE"/>
  </w:style>
  <w:style w:type="paragraph" w:styleId="BalloonText">
    <w:name w:val="Balloon Text"/>
    <w:basedOn w:val="Normal"/>
    <w:link w:val="BalloonTextChar"/>
    <w:uiPriority w:val="99"/>
    <w:semiHidden/>
    <w:unhideWhenUsed/>
    <w:rsid w:val="0003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EE"/>
    <w:rPr>
      <w:rFonts w:ascii="Tahoma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223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223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F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9C3-F5E3-49EA-920A-D8DD13A5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cuscak</cp:lastModifiedBy>
  <cp:revision>25</cp:revision>
  <cp:lastPrinted>2009-07-06T08:50:00Z</cp:lastPrinted>
  <dcterms:created xsi:type="dcterms:W3CDTF">2009-07-02T12:24:00Z</dcterms:created>
  <dcterms:modified xsi:type="dcterms:W3CDTF">2009-07-06T09:21:00Z</dcterms:modified>
</cp:coreProperties>
</file>